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 xml:space="preserve">” 第 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5.1.7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B76CDCF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应体现围护结构做法及性能指标。</w:t>
      </w:r>
    </w:p>
    <w:p w14:paraId="0E5D6A12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应包括详细计算围护结构各构件的内表面温度及露点温度，并</w:t>
      </w:r>
    </w:p>
    <w:p w14:paraId="7BBE1D1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给出是否结露的明确结论。</w:t>
      </w:r>
    </w:p>
    <w:p w14:paraId="368EB0EC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按照现行国家标准《民用建筑热工设计规范》GB 50176 对供暖</w:t>
      </w:r>
    </w:p>
    <w:p w14:paraId="6FCBEB37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建筑的屋面和外墙内部进行详细冷凝验算，对夏季屋顶和外墙进</w:t>
      </w:r>
    </w:p>
    <w:p w14:paraId="126691A4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行隔热性能计算。</w:t>
      </w:r>
    </w:p>
    <w:p w14:paraId="1663DBE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4. 透光围护结构太阳能得热系数与夏季建筑遮阳系数的乘积宜小</w:t>
      </w:r>
    </w:p>
    <w:p w14:paraId="169F734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于下表的限值。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1808"/>
        <w:gridCol w:w="2131"/>
        <w:gridCol w:w="2131"/>
      </w:tblGrid>
      <w:tr w14:paraId="1BFC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vMerge w:val="restart"/>
            <w:vAlign w:val="top"/>
          </w:tcPr>
          <w:p w14:paraId="4796B856">
            <w:pPr>
              <w:widowControl w:val="0"/>
              <w:bidi w:val="0"/>
              <w:ind w:left="0" w:leftChars="0" w:firstLine="0" w:firstLineChars="0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lang w:val="en-US" w:eastAsia="zh-CN" w:bidi="ar-SA"/>
              </w:rPr>
              <w:t>气候区</w:t>
            </w:r>
          </w:p>
        </w:tc>
        <w:tc>
          <w:tcPr>
            <w:tcW w:w="6070" w:type="dxa"/>
            <w:gridSpan w:val="3"/>
            <w:vAlign w:val="top"/>
          </w:tcPr>
          <w:p w14:paraId="3DFB5A0D">
            <w:pPr>
              <w:widowControl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Theme="minorEastAsia"/>
                <w:vertAlign w:val="baseline"/>
                <w:lang w:val="zh-CN"/>
              </w:rPr>
              <w:t>朝向</w:t>
            </w:r>
          </w:p>
        </w:tc>
      </w:tr>
      <w:tr w14:paraId="69A9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vMerge w:val="continue"/>
            <w:vAlign w:val="top"/>
          </w:tcPr>
          <w:p w14:paraId="551436CB">
            <w:pPr>
              <w:widowControl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vertAlign w:val="baseline"/>
                <w:lang w:val="zh-CN"/>
              </w:rPr>
            </w:pPr>
          </w:p>
        </w:tc>
        <w:tc>
          <w:tcPr>
            <w:tcW w:w="1808" w:type="dxa"/>
            <w:vAlign w:val="top"/>
          </w:tcPr>
          <w:p w14:paraId="069DBFB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Theme="minorEastAsia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Theme="minorEastAsia"/>
                <w:vertAlign w:val="baseline"/>
                <w:lang w:val="zh-CN"/>
              </w:rPr>
              <w:t>南</w:t>
            </w:r>
          </w:p>
        </w:tc>
        <w:tc>
          <w:tcPr>
            <w:tcW w:w="2131" w:type="dxa"/>
            <w:vAlign w:val="top"/>
          </w:tcPr>
          <w:p w14:paraId="586DEFA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vertAlign w:val="baseline"/>
                <w:lang w:val="en-US" w:eastAsia="zh-CN"/>
              </w:rPr>
              <w:t>东、西</w:t>
            </w:r>
          </w:p>
        </w:tc>
        <w:tc>
          <w:tcPr>
            <w:tcW w:w="2131" w:type="dxa"/>
            <w:vAlign w:val="top"/>
          </w:tcPr>
          <w:p w14:paraId="72B1B1A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vertAlign w:val="baseline"/>
                <w:lang w:val="en-US" w:eastAsia="zh-CN"/>
              </w:rPr>
              <w:t>水平</w:t>
            </w:r>
          </w:p>
        </w:tc>
      </w:tr>
      <w:tr w14:paraId="1C42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vAlign w:val="top"/>
          </w:tcPr>
          <w:p w14:paraId="1DDAEDE4">
            <w:pPr>
              <w:widowControl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Theme="minorEastAsia"/>
                <w:vertAlign w:val="baseline"/>
                <w:lang w:val="zh-CN"/>
              </w:rPr>
              <w:t>夏热冬冷 A 区</w:t>
            </w:r>
          </w:p>
        </w:tc>
        <w:tc>
          <w:tcPr>
            <w:tcW w:w="1808" w:type="dxa"/>
            <w:vAlign w:val="top"/>
          </w:tcPr>
          <w:p w14:paraId="022D334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vertAlign w:val="baseline"/>
                <w:lang w:val="en-US" w:eastAsia="zh-CN"/>
              </w:rPr>
              <w:t>0.55</w:t>
            </w:r>
          </w:p>
        </w:tc>
        <w:tc>
          <w:tcPr>
            <w:tcW w:w="2131" w:type="dxa"/>
            <w:vAlign w:val="top"/>
          </w:tcPr>
          <w:p w14:paraId="25A6C9A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vertAlign w:val="baseline"/>
                <w:lang w:val="en-US" w:eastAsia="zh-CN"/>
              </w:rPr>
              <w:t>0.50</w:t>
            </w:r>
          </w:p>
        </w:tc>
        <w:tc>
          <w:tcPr>
            <w:tcW w:w="2131" w:type="dxa"/>
            <w:vAlign w:val="top"/>
          </w:tcPr>
          <w:p w14:paraId="6387EBB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vertAlign w:val="baseline"/>
                <w:lang w:val="en-US" w:eastAsia="zh-CN"/>
              </w:rPr>
              <w:t>0.40</w:t>
            </w:r>
          </w:p>
        </w:tc>
      </w:tr>
      <w:tr w14:paraId="57F0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vAlign w:val="top"/>
          </w:tcPr>
          <w:p w14:paraId="7E3422F3">
            <w:pPr>
              <w:widowControl w:val="0"/>
              <w:spacing w:line="400" w:lineRule="exact"/>
              <w:jc w:val="center"/>
              <w:rPr>
                <w:rFonts w:hint="eastAsia" w:ascii="Times New Roman" w:hAnsi="Times New Roman" w:eastAsiaTheme="minorEastAsia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Theme="minorEastAsia"/>
                <w:vertAlign w:val="baseline"/>
                <w:lang w:val="zh-CN"/>
              </w:rPr>
              <w:t>夏热冬冷 B 区</w:t>
            </w:r>
          </w:p>
        </w:tc>
        <w:tc>
          <w:tcPr>
            <w:tcW w:w="1808" w:type="dxa"/>
            <w:vAlign w:val="top"/>
          </w:tcPr>
          <w:p w14:paraId="531F6E2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vertAlign w:val="baseline"/>
                <w:lang w:val="en-US" w:eastAsia="zh-CN"/>
              </w:rPr>
              <w:t>0.50</w:t>
            </w:r>
          </w:p>
        </w:tc>
        <w:tc>
          <w:tcPr>
            <w:tcW w:w="2131" w:type="dxa"/>
            <w:vAlign w:val="top"/>
          </w:tcPr>
          <w:p w14:paraId="412FD8F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vertAlign w:val="baseline"/>
                <w:lang w:val="en-US" w:eastAsia="zh-CN"/>
              </w:rPr>
              <w:t>0.45</w:t>
            </w:r>
          </w:p>
        </w:tc>
        <w:tc>
          <w:tcPr>
            <w:tcW w:w="2131" w:type="dxa"/>
            <w:vAlign w:val="top"/>
          </w:tcPr>
          <w:p w14:paraId="29E5158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vertAlign w:val="baseline"/>
                <w:lang w:val="en-US" w:eastAsia="zh-CN"/>
              </w:rPr>
              <w:t>0.35</w:t>
            </w:r>
          </w:p>
        </w:tc>
      </w:tr>
    </w:tbl>
    <w:p w14:paraId="614BDD1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p w14:paraId="3218479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13EC670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1.措施表；</w:t>
      </w:r>
    </w:p>
    <w:p w14:paraId="604D9AE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2.建筑围护结构结露验算计算书；</w:t>
      </w:r>
    </w:p>
    <w:p w14:paraId="2BCD38F6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3.建筑围护结构内部冷凝验算计算书；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4.建筑围护结构隔热性能计算书。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2D172F1E"/>
    <w:rsid w:val="306E1122"/>
    <w:rsid w:val="33451239"/>
    <w:rsid w:val="37E51F32"/>
    <w:rsid w:val="3AF04F91"/>
    <w:rsid w:val="3DB7666A"/>
    <w:rsid w:val="413044E3"/>
    <w:rsid w:val="4C757F5C"/>
    <w:rsid w:val="60EC6AC2"/>
    <w:rsid w:val="754C083D"/>
    <w:rsid w:val="7A91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298</Characters>
  <Lines>0</Lines>
  <Paragraphs>0</Paragraphs>
  <TotalTime>5</TotalTime>
  <ScaleCrop>false</ScaleCrop>
  <LinksUpToDate>false</LinksUpToDate>
  <CharactersWithSpaces>310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