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15</w:t>
      </w:r>
      <w:r>
        <w:rPr>
          <w:rFonts w:hint="eastAsia" w:asciiTheme="majorEastAsia" w:hAnsiTheme="majorEastAsia" w:eastAsiaTheme="majorEastAsia"/>
          <w:b/>
        </w:rPr>
        <w:t>(“生活便利” 第 6.1.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075334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电动汽车停车位数量至少应达到当地相关规定要求，停车位总</w:t>
      </w:r>
    </w:p>
    <w:p w14:paraId="0FC4773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平面中应明确充电停车位的位置。</w:t>
      </w:r>
    </w:p>
    <w:p w14:paraId="0482014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满足现行国家标准《无障碍设计规范》GB 50763 对不同场所无</w:t>
      </w:r>
    </w:p>
    <w:p w14:paraId="392233A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障碍停车位的规定。</w:t>
      </w: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EBC20A6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1.总平面图；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2.停车场建筑施工图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CFD5EA4"/>
    <w:rsid w:val="2D172F1E"/>
    <w:rsid w:val="306E1122"/>
    <w:rsid w:val="33451239"/>
    <w:rsid w:val="37E51F32"/>
    <w:rsid w:val="3AF04F91"/>
    <w:rsid w:val="3DB7666A"/>
    <w:rsid w:val="413044E3"/>
    <w:rsid w:val="4A062864"/>
    <w:rsid w:val="4C757F5C"/>
    <w:rsid w:val="545F05D2"/>
    <w:rsid w:val="754C083D"/>
    <w:rsid w:val="7A9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179</Characters>
  <Lines>0</Lines>
  <Paragraphs>0</Paragraphs>
  <TotalTime>8</TotalTime>
  <ScaleCrop>false</ScaleCrop>
  <LinksUpToDate>false</LinksUpToDate>
  <CharactersWithSpaces>184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2024-11-04T06:43:06Z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