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18</w:t>
      </w:r>
      <w:r>
        <w:rPr>
          <w:rFonts w:hint="eastAsia" w:asciiTheme="majorEastAsia" w:hAnsiTheme="majorEastAsia" w:eastAsiaTheme="majorEastAsia"/>
          <w:b/>
        </w:rPr>
        <w:t>(“资源节约” 第 7.1.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19EBE4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. 女儿墙高度超过标准要求 2 倍以上或有装饰性构件，需提供装</w:t>
      </w:r>
    </w:p>
    <w:p w14:paraId="2BE2F4E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饰性构件造价占工程总造价比例计算书。其中造价信息应与建筑</w:t>
      </w:r>
    </w:p>
    <w:p w14:paraId="682262C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概算一致。当项目有公建和居建组成时，按照面积加权计算。</w:t>
      </w:r>
    </w:p>
    <w:p w14:paraId="2369C89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装饰性构件造价比例计算书应包括以下内容：1）项目概况；2）</w:t>
      </w:r>
    </w:p>
    <w:p w14:paraId="628F547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装饰性构件做法及使用范围、装饰性构件材料工程量、材料单价、</w:t>
      </w:r>
    </w:p>
    <w:p w14:paraId="260AEA4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装饰性构件总价、工程总造价、装饰性构件造价与工程总造价的</w:t>
      </w:r>
    </w:p>
    <w:p w14:paraId="14B67D8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比例；3）结论。</w:t>
      </w:r>
    </w:p>
    <w:p w14:paraId="7C2AC48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装饰性构件造价比例计算应以单栋建筑为单元，各单栋建筑的</w:t>
      </w:r>
    </w:p>
    <w:p w14:paraId="7402753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装饰性构件造价比例均应符合条文规定的比例要求。计算时，分</w:t>
      </w:r>
    </w:p>
    <w:p w14:paraId="3EE7E07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子为各类装饰性构件造价之和，分母为单栋建筑地上和地下工程</w:t>
      </w:r>
    </w:p>
    <w:p w14:paraId="5878D1F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的土建、安装工程总造价，但不包括征地、外部道路等其他费用。</w:t>
      </w: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BB1AE0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1.建筑施工图；</w:t>
      </w:r>
    </w:p>
    <w:p w14:paraId="5D7D257C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zh-CN"/>
        </w:rPr>
        <w:t>2.装饰性构件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造价比例计算书。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CFD5EA4"/>
    <w:rsid w:val="2D172F1E"/>
    <w:rsid w:val="306E1122"/>
    <w:rsid w:val="33451239"/>
    <w:rsid w:val="37E51F32"/>
    <w:rsid w:val="3AF04F91"/>
    <w:rsid w:val="3DB7666A"/>
    <w:rsid w:val="413044E3"/>
    <w:rsid w:val="4A062864"/>
    <w:rsid w:val="4C757F5C"/>
    <w:rsid w:val="4E085313"/>
    <w:rsid w:val="545F05D2"/>
    <w:rsid w:val="610211EC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351</Characters>
  <Lines>0</Lines>
  <Paragraphs>0</Paragraphs>
  <TotalTime>10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