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22</w:t>
      </w:r>
      <w:r>
        <w:rPr>
          <w:rFonts w:hint="eastAsia" w:asciiTheme="majorEastAsia" w:hAnsiTheme="majorEastAsia" w:eastAsiaTheme="majorEastAsia"/>
          <w:b/>
        </w:rPr>
        <w:t>(“环境宜居” 第 8.1.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616A227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建筑场地内不应存在未达标排放或者超标排放的气态、液态或固</w:t>
      </w:r>
    </w:p>
    <w:p w14:paraId="5510F8E1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态的污染源，例如：易产生噪声的运动和营业场所，油烟未达标</w:t>
      </w:r>
    </w:p>
    <w:p w14:paraId="56D0D4B0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排放的厨房，煤气或工业废气超标排放的燃煤锅炉房，污染物排</w:t>
      </w:r>
    </w:p>
    <w:p w14:paraId="3711E47D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放超标的垃圾堆等。若有污染源应积极采取相应的治理措施并达</w:t>
      </w:r>
    </w:p>
    <w:p w14:paraId="10F883A4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到无超标污染物排放的要求。</w:t>
      </w:r>
    </w:p>
    <w:p w14:paraId="0701C33E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E1D2C62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1..绿色建筑设计专篇；</w:t>
      </w:r>
    </w:p>
    <w:p w14:paraId="44EA042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2.环评报告；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3.治理措施报告。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004FD1"/>
    <w:rsid w:val="08272EB9"/>
    <w:rsid w:val="21AE7149"/>
    <w:rsid w:val="24375649"/>
    <w:rsid w:val="2CFD5EA4"/>
    <w:rsid w:val="2D172F1E"/>
    <w:rsid w:val="306E1122"/>
    <w:rsid w:val="33451239"/>
    <w:rsid w:val="3527171E"/>
    <w:rsid w:val="37E51F32"/>
    <w:rsid w:val="3AF04F91"/>
    <w:rsid w:val="3C524F4F"/>
    <w:rsid w:val="3DB7666A"/>
    <w:rsid w:val="413044E3"/>
    <w:rsid w:val="4A062864"/>
    <w:rsid w:val="4C757F5C"/>
    <w:rsid w:val="4E085313"/>
    <w:rsid w:val="545F05D2"/>
    <w:rsid w:val="62B8377A"/>
    <w:rsid w:val="6417189E"/>
    <w:rsid w:val="699221CD"/>
    <w:rsid w:val="754C083D"/>
    <w:rsid w:val="796B23F9"/>
    <w:rsid w:val="7A917569"/>
    <w:rsid w:val="7B89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186</Characters>
  <Lines>0</Lines>
  <Paragraphs>0</Paragraphs>
  <TotalTime>12</TotalTime>
  <ScaleCrop>false</ScaleCrop>
  <LinksUpToDate>false</LinksUpToDate>
  <CharactersWithSpaces>188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