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</w:rPr>
        <w:t>(“环境宜居” 第 8.1.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F1B26C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建筑设计时应合理规划和设置垃圾收集设施，按规划配垃圾收</w:t>
      </w:r>
    </w:p>
    <w:p w14:paraId="2C1622F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集站，应能具备定期冲洗，消杀条件，并能及时做到密闭清运。</w:t>
      </w:r>
    </w:p>
    <w:p w14:paraId="123B903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在垃圾容器和收集点布置时，重视垃圾容器和收集点的环境卫</w:t>
      </w:r>
    </w:p>
    <w:p w14:paraId="188A171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生与景观美化问题，相对位置固定。做到密闭或设置方便使用冲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洗和排水设施。</w:t>
      </w:r>
    </w:p>
    <w:p w14:paraId="0701C3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53BF0D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1.绿色建筑设计专篇；</w:t>
      </w:r>
    </w:p>
    <w:p w14:paraId="611AAFAB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2.建筑施工图；</w:t>
      </w:r>
    </w:p>
    <w:p w14:paraId="2A557960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zh-CN"/>
        </w:rPr>
        <w:t>3.垃圾收集设施布置图。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CD659E0"/>
    <w:rsid w:val="3DB7666A"/>
    <w:rsid w:val="413044E3"/>
    <w:rsid w:val="4A062864"/>
    <w:rsid w:val="4C757F5C"/>
    <w:rsid w:val="4E085313"/>
    <w:rsid w:val="545F05D2"/>
    <w:rsid w:val="5FB84F9F"/>
    <w:rsid w:val="62B8377A"/>
    <w:rsid w:val="6417189E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185</Characters>
  <Lines>0</Lines>
  <Paragraphs>0</Paragraphs>
  <TotalTime>15</TotalTime>
  <ScaleCrop>false</ScaleCrop>
  <LinksUpToDate>false</LinksUpToDate>
  <CharactersWithSpaces>189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