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</w:rPr>
        <w:t>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844EA7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建筑内部非结构构件包括非承重墙体、附着于楼屋面结构的构</w:t>
      </w:r>
    </w:p>
    <w:p w14:paraId="2A97A0EC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件、装饰构件和部件等。设备主要包括电梯、照明和应急电源、</w:t>
      </w:r>
    </w:p>
    <w:p w14:paraId="2F4DBA1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通信设备，管道系统、采暖和空气调节系统、烟火监测和消防系</w:t>
      </w:r>
    </w:p>
    <w:p w14:paraId="09E92C9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统等。附属设施包括整体卫生间、橱柜、储物柜等。</w:t>
      </w:r>
    </w:p>
    <w:p w14:paraId="458C678F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施工图中应包括内部非结构构件、设备及附属设施的安全性的</w:t>
      </w:r>
    </w:p>
    <w:p w14:paraId="54F9752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措施。如门窗、防护栏杆等是否满足国家现行相关设计标准要求；</w:t>
      </w:r>
    </w:p>
    <w:p w14:paraId="65B3A61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是否应根据腐蚀环境选用材料或进行耐腐蚀处理。</w:t>
      </w:r>
    </w:p>
    <w:p w14:paraId="6C1F2C4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装饰构件之间以及装饰构件与基体的连接应进行力学性能和变</w:t>
      </w:r>
    </w:p>
    <w:p w14:paraId="28924E7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形计算。建筑部品、非结构构件及附属设备等应采用机械固定、</w:t>
      </w:r>
    </w:p>
    <w:p w14:paraId="58FBEA0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焊接、预埋等牢固性构件连接方式或一体化建造方式与建筑主体</w:t>
      </w:r>
    </w:p>
    <w:p w14:paraId="496F7EB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结构可靠连接，经过设计，满足承载力、耐久性和变形要求，并</w:t>
      </w:r>
    </w:p>
    <w:p w14:paraId="71F2C69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满足现行国家标准要求的连接方式均可以采用，但不应在梁柱节</w:t>
      </w:r>
    </w:p>
    <w:p w14:paraId="0EFDCC5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点等钢筋密集区域设膨胀螺栓。</w:t>
      </w:r>
      <w:bookmarkStart w:id="0" w:name="_GoBack"/>
      <w:bookmarkEnd w:id="0"/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6BDFFF96">
      <w:pPr>
        <w:spacing w:line="400" w:lineRule="exact"/>
        <w:ind w:firstLine="482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rPr>
          <w:rFonts w:hint="eastAsia"/>
        </w:rPr>
      </w:pPr>
      <w:r>
        <w:rPr>
          <w:rFonts w:hint="eastAsia"/>
        </w:rPr>
        <w:t>建筑施工图及构造做法。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272EB9"/>
    <w:rsid w:val="306E1122"/>
    <w:rsid w:val="3DB7666A"/>
    <w:rsid w:val="4C7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334</Characters>
  <Lines>0</Lines>
  <Paragraphs>0</Paragraphs>
  <TotalTime>7</TotalTime>
  <ScaleCrop>false</ScaleCrop>
  <LinksUpToDate>false</LinksUpToDate>
  <CharactersWithSpaces>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