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</w:rPr>
        <w:t>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B7B1FA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设计时外门窗是否明确抗风压性能、水密性能指标和等级，并</w:t>
      </w:r>
    </w:p>
    <w:p w14:paraId="21E3D87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应符合现行行业标准《塑料门窗工程技术规程》JGJ 103、《铝合金</w:t>
      </w:r>
    </w:p>
    <w:p w14:paraId="592DCD1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门窗工程技术规范》JGJ 214 等现行相关标准的规定。必要时需提</w:t>
      </w:r>
    </w:p>
    <w:p w14:paraId="320F3562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供门窗三性检测报告。</w:t>
      </w:r>
    </w:p>
    <w:p w14:paraId="3EB8573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图纸中注明采用经过门窗性能标识的门窗，不需要门窗三性检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测检验报告，判定满足要求。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6BDFFF96">
      <w:pPr>
        <w:spacing w:line="400" w:lineRule="exact"/>
        <w:ind w:firstLine="482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rPr>
          <w:rFonts w:hint="eastAsia"/>
        </w:rPr>
      </w:pPr>
      <w:r>
        <w:rPr>
          <w:rFonts w:hint="eastAsia"/>
        </w:rPr>
        <w:t>相关设计说明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272EB9"/>
    <w:rsid w:val="306E1122"/>
    <w:rsid w:val="3DB7666A"/>
    <w:rsid w:val="413044E3"/>
    <w:rsid w:val="4C7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386</Characters>
  <Lines>0</Lines>
  <Paragraphs>0</Paragraphs>
  <TotalTime>8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