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舒适健康</w:t>
      </w:r>
      <w:r>
        <w:rPr>
          <w:rFonts w:hint="eastAsia" w:asciiTheme="majorEastAsia" w:hAnsiTheme="majorEastAsia" w:eastAsiaTheme="majorEastAsia"/>
          <w:b/>
        </w:rPr>
        <w:t xml:space="preserve">” 第 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5.1.1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330BD4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在设计阶段通过控制建筑材料的污染物释放要求和材料用量来</w:t>
      </w:r>
    </w:p>
    <w:p w14:paraId="0250FF5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预测建成后是否满足要求。</w:t>
      </w:r>
    </w:p>
    <w:p w14:paraId="4BB47E79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本条规定建筑室内和建筑主出入口处禁止吸烟，并设置禁烟标</w:t>
      </w:r>
    </w:p>
    <w:p w14:paraId="43413A8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志。本条所述的建筑室内，主要指的是公共建筑室内和住宅建筑</w:t>
      </w:r>
    </w:p>
    <w:p w14:paraId="1C956DCE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内的公共区域。精装修项目需查看由业主委托有关单位完成的《污</w:t>
      </w:r>
    </w:p>
    <w:p w14:paraId="028629E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染物浓度预评估报告》中，分析边界条件是否与图纸一致。</w:t>
      </w:r>
    </w:p>
    <w:p w14:paraId="06735EAD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bookmarkStart w:id="0" w:name="_GoBack"/>
      <w:r>
        <w:rPr>
          <w:rFonts w:hint="eastAsia" w:ascii="Times New Roman" w:hAnsi="Times New Roman" w:eastAsiaTheme="minorEastAsia"/>
          <w:lang w:val="zh-CN"/>
        </w:rPr>
        <w:t>3. 对于装修图后出，或者另外委托设计的项目，本阶段视为满足</w:t>
      </w:r>
    </w:p>
    <w:bookmarkEnd w:id="0"/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要求，并在审图意见中注明情况。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B8FE2FA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1.建筑施工图；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2.装修施工图。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196C2283"/>
    <w:rsid w:val="306E1122"/>
    <w:rsid w:val="33451239"/>
    <w:rsid w:val="37E51F32"/>
    <w:rsid w:val="3DB7666A"/>
    <w:rsid w:val="413044E3"/>
    <w:rsid w:val="4C757F5C"/>
    <w:rsid w:val="754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245</Characters>
  <Lines>0</Lines>
  <Paragraphs>0</Paragraphs>
  <TotalTime>12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