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2.2</w:t>
      </w:r>
      <w:r>
        <w:rPr>
          <w:rFonts w:hint="eastAsia" w:asciiTheme="majorEastAsia" w:hAnsiTheme="majorEastAsia" w:eastAsiaTheme="majorEastAsia"/>
          <w:b/>
        </w:rPr>
        <w:t>(“安全耐久” 第4.1.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A24892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审查非结构构件是否有专门的连接设计和相关说明。</w:t>
      </w:r>
    </w:p>
    <w:p w14:paraId="4F2768C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审查连接构造是否合理，是否适应主体结构变形。</w:t>
      </w:r>
    </w:p>
    <w:p w14:paraId="4B14E28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审查变形缝、预留洞口的位置和尺寸是否考虑不均匀沉降和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变形影响。</w:t>
      </w:r>
    </w:p>
    <w:p w14:paraId="0701C3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75F6E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建筑布置图；</w:t>
      </w:r>
      <w:bookmarkStart w:id="0" w:name="_GoBack"/>
      <w:bookmarkEnd w:id="0"/>
    </w:p>
    <w:p w14:paraId="61CD2F37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zh-CN"/>
        </w:rPr>
        <w:t>2. 结构设计说明及相关图纸、计算书。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CB0714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99221CD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140</Characters>
  <Lines>0</Lines>
  <Paragraphs>0</Paragraphs>
  <TotalTime>13</TotalTime>
  <ScaleCrop>false</ScaleCrop>
  <LinksUpToDate>false</LinksUpToDate>
  <CharactersWithSpaces>160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