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</w:t>
      </w:r>
      <w:r>
        <w:rPr>
          <w:rFonts w:hint="eastAsia" w:asciiTheme="majorEastAsia" w:hAnsiTheme="majorEastAsia" w:eastAsiaTheme="majorEastAsia"/>
          <w:b/>
        </w:rPr>
        <w:t>(“环境宜居” 第8.1.4</w:t>
      </w:r>
      <w:r>
        <w:rPr>
          <w:rFonts w:hint="eastAsia" w:asciiTheme="majorEastAsia" w:hAnsiTheme="majorEastAsia" w:eastAsiaTheme="majorEastAsia"/>
          <w:b/>
          <w:lang w:val="en-US" w:eastAsia="zh-CN"/>
        </w:rPr>
        <w:t>.</w:t>
      </w:r>
      <w:r>
        <w:rPr>
          <w:rFonts w:hint="eastAsia" w:asciiTheme="majorEastAsia" w:hAnsiTheme="majorEastAsia" w:eastAsiaTheme="majorEastAsia"/>
          <w:b/>
        </w:rPr>
        <w:t>条其中审查要点第5款应核查 2.1.20 是否满足要求。)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0EFE0B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项目应结合场地特点合理组织雨水径流。竖向设计应有利于场</w:t>
      </w:r>
    </w:p>
    <w:p w14:paraId="644127C9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地雨水重力自流进入绿色生态设施。</w:t>
      </w:r>
    </w:p>
    <w:p w14:paraId="57AF499B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海绵城市设计应满足下列要求：</w:t>
      </w:r>
    </w:p>
    <w:p w14:paraId="4700785E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1）场地占地面积＞10hm2的场地应进行雨水控制利用专项设</w:t>
      </w:r>
    </w:p>
    <w:p w14:paraId="0F4963B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计，分期开发的项目应有总体考虑；</w:t>
      </w:r>
    </w:p>
    <w:p w14:paraId="1AC707E8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2）5hm2＜场地占地面积≤10hm2的场地应根据场地条件编制</w:t>
      </w:r>
    </w:p>
    <w:p w14:paraId="4D238BD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控制利用方案；</w:t>
      </w:r>
    </w:p>
    <w:p w14:paraId="2C985101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3）场地占地面积≤5hm2的场地应根据场地条件合理采用雨水</w:t>
      </w:r>
    </w:p>
    <w:p w14:paraId="31E3C91B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控制利用措施；雨水控制及利用措施包括土壤入渗系统、收集利</w:t>
      </w:r>
    </w:p>
    <w:p w14:paraId="45A1631B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用系统或调蓄排放系统。</w:t>
      </w:r>
    </w:p>
    <w:p w14:paraId="34CE074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如该项目有海绵专项设计，可在海绵专项设计文本中表述。</w:t>
      </w:r>
    </w:p>
    <w:p w14:paraId="63BB833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 如当地有海绵城市设计导则，其建设指标应按当地相关规定执</w:t>
      </w:r>
    </w:p>
    <w:p w14:paraId="5C5C713F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行。</w:t>
      </w:r>
    </w:p>
    <w:p w14:paraId="11598EF3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5. 连接建筑出入口的下沉地面、下沉广场、下沉庭院及地下车库</w:t>
      </w:r>
    </w:p>
    <w:p w14:paraId="25CD5D8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出入口坡道，整体下沉的建筑小区，应采取土建措施禁止防洪水</w:t>
      </w:r>
    </w:p>
    <w:p w14:paraId="78641DF4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位以下的客水进入这些下沉区域。土建措施应由土建专业完成，</w:t>
      </w:r>
    </w:p>
    <w:p w14:paraId="197CE2E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给排水专业应向土建专业提出要求。</w:t>
      </w:r>
    </w:p>
    <w:p w14:paraId="4F706D6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74FB6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</w:t>
      </w:r>
      <w:r>
        <w:rPr>
          <w:rFonts w:hint="eastAsia" w:ascii="Times New Roman" w:hAnsi="Times New Roman" w:eastAsiaTheme="minorEastAsia"/>
          <w:lang w:val="en-US" w:eastAsia="zh-CN"/>
        </w:rPr>
        <w:t>.</w:t>
      </w:r>
      <w:r>
        <w:rPr>
          <w:rFonts w:hint="eastAsia" w:ascii="Times New Roman" w:hAnsi="Times New Roman" w:eastAsiaTheme="minorEastAsia"/>
          <w:lang w:val="zh-CN"/>
        </w:rPr>
        <w:t>《水系统规划设计评审表》；</w:t>
      </w:r>
      <w:bookmarkStart w:id="0" w:name="_GoBack"/>
      <w:bookmarkEnd w:id="0"/>
    </w:p>
    <w:p w14:paraId="21186B1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2.设计说明；</w:t>
      </w:r>
    </w:p>
    <w:p w14:paraId="7C08F07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3.给水系统图；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4.绿色建筑设计专篇。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24003DE4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A062864"/>
    <w:rsid w:val="4C757F5C"/>
    <w:rsid w:val="4E085313"/>
    <w:rsid w:val="4FD8360F"/>
    <w:rsid w:val="5415615A"/>
    <w:rsid w:val="545F05D2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470</Characters>
  <Lines>0</Lines>
  <Paragraphs>0</Paragraphs>
  <TotalTime>24</TotalTime>
  <ScaleCrop>false</ScaleCrop>
  <LinksUpToDate>false</LinksUpToDate>
  <CharactersWithSpaces>478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