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AB32">
      <w:pPr>
        <w:ind w:firstLine="482"/>
        <w:rPr>
          <w:rFonts w:hint="eastAsia"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</w:t>
      </w:r>
      <w:r>
        <w:rPr>
          <w:rFonts w:hint="eastAsia" w:asciiTheme="majorEastAsia" w:hAnsiTheme="majorEastAsia" w:eastAsiaTheme="majorEastAsia"/>
          <w:b/>
        </w:rPr>
        <w:t>(“健康舒适” 第5.1.9 条；涉及暖通专业，请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会商确认相关要求是否满足。)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BC1F986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有地下车库的建筑，车库设置与排风设备联动的一氧化碳监测</w:t>
      </w:r>
    </w:p>
    <w:p w14:paraId="668DCF7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装置，超过一定的量值时需报警，并启动排风系统。</w:t>
      </w:r>
    </w:p>
    <w:p w14:paraId="0025813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一氧化碳监测装置安装高度与数量：安装高度宜控制在</w:t>
      </w:r>
    </w:p>
    <w:p w14:paraId="185A282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1.5-2m，每个防火分区至少 1 个，当单个防火分区面积较大时，</w:t>
      </w:r>
    </w:p>
    <w:p w14:paraId="17BD1B3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应保证每 300-400m2 一个。</w:t>
      </w:r>
    </w:p>
    <w:p w14:paraId="134DD76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一氧化碳浓度量值要求：《工作场所有害因素职业接触限值 第</w:t>
      </w:r>
    </w:p>
    <w:p w14:paraId="3C4384C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 部分:化学有害因素》GBZ 2.1：一氧化碳的时间加权平均容许浓</w:t>
      </w:r>
    </w:p>
    <w:p w14:paraId="5DA657C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度(8h 工作日、40h 工作周)不高于 20mg/m3短时间(15min)接触容</w:t>
      </w:r>
    </w:p>
    <w:p w14:paraId="16116E1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许浓度不高于 30mg/m3。</w:t>
      </w:r>
    </w:p>
    <w:p w14:paraId="12ACDE5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423C0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1.建筑智能化设计说明；</w:t>
      </w:r>
    </w:p>
    <w:p w14:paraId="4BEF16F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2.建筑智能化系统图。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281</Characters>
  <Lines>0</Lines>
  <Paragraphs>0</Paragraphs>
  <TotalTime>29</TotalTime>
  <ScaleCrop>false</ScaleCrop>
  <LinksUpToDate>false</LinksUpToDate>
  <CharactersWithSpaces>295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