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6.3</w:t>
      </w:r>
      <w:r>
        <w:rPr>
          <w:rFonts w:hint="eastAsia" w:asciiTheme="majorEastAsia" w:hAnsiTheme="majorEastAsia" w:eastAsiaTheme="majorEastAsia"/>
          <w:b/>
        </w:rPr>
        <w:t>(“环境宜居” 第8.1.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</w:rPr>
        <w:t xml:space="preserve">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6B35C9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是否明确绿化区域和面积、覆土深度、排水能力。</w:t>
      </w:r>
    </w:p>
    <w:p w14:paraId="64C15B00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034C1A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</w:t>
      </w:r>
      <w:r>
        <w:rPr>
          <w:rFonts w:hint="eastAsia" w:ascii="Times New Roman" w:hAnsi="Times New Roman" w:eastAsiaTheme="minorEastAsia"/>
          <w:lang w:val="zh-CN"/>
        </w:rPr>
        <w:t>景观总平图；</w:t>
      </w:r>
    </w:p>
    <w:p w14:paraId="2B84728D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2.乔木种植平面图；</w:t>
      </w:r>
      <w:bookmarkStart w:id="0" w:name="_GoBack"/>
      <w:bookmarkEnd w:id="0"/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3.苗木表。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B27709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2BE132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78</Characters>
  <Lines>0</Lines>
  <Paragraphs>0</Paragraphs>
  <TotalTime>47</TotalTime>
  <ScaleCrop>false</ScaleCrop>
  <LinksUpToDate>false</LinksUpToDate>
  <CharactersWithSpaces>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