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3.1.13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生活便利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6.2.3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0E61DBC3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1. 本标准与现行国家标准《城市居住区规划设计标准》GB 50180</w:t>
      </w:r>
    </w:p>
    <w:p w14:paraId="28B6AD69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进行了对接，居住区的配套设施是指对应居住区分级配套规划建</w:t>
      </w:r>
    </w:p>
    <w:p w14:paraId="4966AF8B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设，并与居住人口规模或住宅建筑面积规模相匹配的生活服务设</w:t>
      </w:r>
    </w:p>
    <w:p w14:paraId="59D1DB2F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施；主要包括公共管理与公共服务设施、商业服务业设施、市政</w:t>
      </w:r>
    </w:p>
    <w:p w14:paraId="6D2A7A89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公用设施、交通场站及社区服务设施、便民服务设施。本条选取</w:t>
      </w:r>
    </w:p>
    <w:p w14:paraId="08F4B4FA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了居民使用频率较高或对便利性要求较高的配套设施进行评价，</w:t>
      </w:r>
    </w:p>
    <w:p w14:paraId="501D572C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突出步行可达的便利性设计原则。特别增加了医院、各类群众文</w:t>
      </w:r>
    </w:p>
    <w:p w14:paraId="4C17D387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化活动设施、老年人日间照料中心等公共服务设施的评价内容，</w:t>
      </w:r>
    </w:p>
    <w:p w14:paraId="4B3845F8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强化了对公共服务水平的评价。其中医院含卫生服务中心、社区</w:t>
      </w:r>
    </w:p>
    <w:p w14:paraId="4F7E4422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医院，群众文化活动设施含文化馆、文化宫、文化活动中心、老</w:t>
      </w:r>
    </w:p>
    <w:p w14:paraId="6030BFE4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年人或儿童活动中心等。</w:t>
      </w:r>
    </w:p>
    <w:p w14:paraId="73E96E3F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2. 公共建筑兼容2种及以上主要公共服务功能是指主要服务功能</w:t>
      </w:r>
    </w:p>
    <w:p w14:paraId="5B426CE4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在建筑内部混合布局，如建筑中设有共用的会议设施、展览设施、</w:t>
      </w:r>
    </w:p>
    <w:p w14:paraId="245CA9E7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健身设施、餐饮设施等以及交往空间、休息空间等空间，提供休</w:t>
      </w:r>
    </w:p>
    <w:p w14:paraId="15763831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息座位、家属室、母婴室、活动室等人员停留、沟通交流、聚集</w:t>
      </w:r>
    </w:p>
    <w:p w14:paraId="22B923B5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活动等与建筑主要使用功能相适应的公共空间。</w:t>
      </w:r>
    </w:p>
    <w:p w14:paraId="68E8110F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3. 公共服务功能设施向社会开放共享的方式也具有多种形式，可</w:t>
      </w:r>
    </w:p>
    <w:p w14:paraId="20BCC364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以全时开放，也可根据自身使用情况错时开放。例如文化活动中</w:t>
      </w:r>
    </w:p>
    <w:p w14:paraId="23210648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心、图书馆、体育运动场、体育馆等，通过科学管理错时向社会</w:t>
      </w:r>
    </w:p>
    <w:p w14:paraId="204ECFE1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公众开放；办公建筑的室外场地、停车库等在非办公时间向周边</w:t>
      </w:r>
    </w:p>
    <w:p w14:paraId="01300B47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居民开放，会议室等向社会开放等。</w:t>
      </w:r>
    </w:p>
    <w:p w14:paraId="714684DD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4. 中小学校、幼儿园、社会福利等公共服务设施，因建筑使用功</w:t>
      </w:r>
    </w:p>
    <w:p w14:paraId="1EE7BAC1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能的特殊性，本条第 2 款的第 1、2、5 项，可直接按照满足要求</w:t>
      </w:r>
    </w:p>
    <w:p w14:paraId="1C6474D5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进行评价。</w:t>
      </w:r>
    </w:p>
    <w:p w14:paraId="40BB02E5">
      <w:pPr>
        <w:numPr>
          <w:ilvl w:val="0"/>
          <w:numId w:val="1"/>
        </w:numPr>
        <w:spacing w:line="400" w:lineRule="exact"/>
        <w:ind w:firstLine="480" w:firstLine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宿舍按住宅建筑进行得分评价。</w:t>
      </w:r>
    </w:p>
    <w:p w14:paraId="22A01977">
      <w:pPr>
        <w:numPr>
          <w:numId w:val="0"/>
        </w:numPr>
        <w:spacing w:line="400" w:lineRule="exact"/>
        <w:rPr>
          <w:rFonts w:hint="eastAsia" w:ascii="Times New Roman" w:hAnsi="Times New Roman" w:eastAsiaTheme="minorEastAsia"/>
          <w:lang w:val="en-US" w:eastAsia="zh-CN"/>
        </w:rPr>
      </w:pPr>
    </w:p>
    <w:p w14:paraId="33B0BE0F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4357FFA5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1. 绿色建筑设计专篇；</w:t>
      </w:r>
    </w:p>
    <w:p w14:paraId="6C28B85A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2.</w:t>
      </w: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 w:val="0"/>
          <w:bCs w:val="0"/>
        </w:rPr>
        <w:t>总平面图；</w:t>
      </w:r>
    </w:p>
    <w:p w14:paraId="71DAD3B5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zh-CN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3.</w:t>
      </w: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 w:val="0"/>
          <w:bCs w:val="0"/>
        </w:rPr>
        <w:t>位置标识图。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D93877"/>
    <w:multiLevelType w:val="singleLevel"/>
    <w:tmpl w:val="DFD93877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6F48C8"/>
    <w:rsid w:val="01C65812"/>
    <w:rsid w:val="04FA7F9C"/>
    <w:rsid w:val="08004FD1"/>
    <w:rsid w:val="08272EB9"/>
    <w:rsid w:val="0D69711E"/>
    <w:rsid w:val="0EB8709A"/>
    <w:rsid w:val="139C47A2"/>
    <w:rsid w:val="19837ABF"/>
    <w:rsid w:val="1B093B81"/>
    <w:rsid w:val="1CF75C38"/>
    <w:rsid w:val="1E646837"/>
    <w:rsid w:val="205F0072"/>
    <w:rsid w:val="21A07435"/>
    <w:rsid w:val="21D20D22"/>
    <w:rsid w:val="23687929"/>
    <w:rsid w:val="24003DE4"/>
    <w:rsid w:val="24375649"/>
    <w:rsid w:val="29B07868"/>
    <w:rsid w:val="2A5243AF"/>
    <w:rsid w:val="2CFD5EA4"/>
    <w:rsid w:val="2D172F1E"/>
    <w:rsid w:val="2D587456"/>
    <w:rsid w:val="2DDF698C"/>
    <w:rsid w:val="2E915161"/>
    <w:rsid w:val="2FBE561B"/>
    <w:rsid w:val="306E1122"/>
    <w:rsid w:val="33451239"/>
    <w:rsid w:val="3527171E"/>
    <w:rsid w:val="360F2596"/>
    <w:rsid w:val="37E51F32"/>
    <w:rsid w:val="3A80508B"/>
    <w:rsid w:val="3AF04F91"/>
    <w:rsid w:val="3C186739"/>
    <w:rsid w:val="3C524F4F"/>
    <w:rsid w:val="3DB7666A"/>
    <w:rsid w:val="3E532432"/>
    <w:rsid w:val="3F5B2AD2"/>
    <w:rsid w:val="403C501B"/>
    <w:rsid w:val="40B10364"/>
    <w:rsid w:val="413044E3"/>
    <w:rsid w:val="448170BD"/>
    <w:rsid w:val="44C45BDC"/>
    <w:rsid w:val="462B13F8"/>
    <w:rsid w:val="462D5F73"/>
    <w:rsid w:val="4A062864"/>
    <w:rsid w:val="4A092B95"/>
    <w:rsid w:val="4C757F5C"/>
    <w:rsid w:val="4E085313"/>
    <w:rsid w:val="53431A29"/>
    <w:rsid w:val="5415615A"/>
    <w:rsid w:val="545F05D2"/>
    <w:rsid w:val="567B51E2"/>
    <w:rsid w:val="579646BD"/>
    <w:rsid w:val="58C1665E"/>
    <w:rsid w:val="5F113436"/>
    <w:rsid w:val="60A2712D"/>
    <w:rsid w:val="61F868F1"/>
    <w:rsid w:val="620F7DDB"/>
    <w:rsid w:val="62B8377A"/>
    <w:rsid w:val="63F77826"/>
    <w:rsid w:val="6417189E"/>
    <w:rsid w:val="644430AA"/>
    <w:rsid w:val="65963407"/>
    <w:rsid w:val="66666FC5"/>
    <w:rsid w:val="66A71F40"/>
    <w:rsid w:val="699221CD"/>
    <w:rsid w:val="6E08415F"/>
    <w:rsid w:val="6EE169AE"/>
    <w:rsid w:val="70A63F5D"/>
    <w:rsid w:val="71C76358"/>
    <w:rsid w:val="72BE132F"/>
    <w:rsid w:val="753E45DB"/>
    <w:rsid w:val="754C083D"/>
    <w:rsid w:val="765046A2"/>
    <w:rsid w:val="76AA1EB8"/>
    <w:rsid w:val="78FD062C"/>
    <w:rsid w:val="796B23F9"/>
    <w:rsid w:val="7A917569"/>
    <w:rsid w:val="7B897ED6"/>
    <w:rsid w:val="7BB61085"/>
    <w:rsid w:val="7C3C6044"/>
    <w:rsid w:val="7CFB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126</Characters>
  <Lines>0</Lines>
  <Paragraphs>0</Paragraphs>
  <TotalTime>73</TotalTime>
  <ScaleCrop>false</ScaleCrop>
  <LinksUpToDate>false</LinksUpToDate>
  <CharactersWithSpaces>132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2024-11-05T08:51:02Z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