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7.2.14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B6EEB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应包括土建与装修一体化设计部位的装修施工图，应与土建各专</w:t>
      </w:r>
    </w:p>
    <w:p w14:paraId="0930CE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业图纸配套。</w:t>
      </w:r>
    </w:p>
    <w:p w14:paraId="3BF0C5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18DE6F63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A45FD97">
      <w:pPr>
        <w:keepNext w:val="0"/>
        <w:keepLines w:val="0"/>
        <w:widowControl/>
        <w:suppressLineNumbers w:val="0"/>
        <w:jc w:val="left"/>
      </w:pPr>
      <w:r>
        <w:rPr>
          <w:rFonts w:hint="eastAsia" w:asciiTheme="majorEastAsia" w:hAnsiTheme="majorEastAsia" w:eastAsiaTheme="majorEastAsia"/>
          <w:b w:val="0"/>
          <w:bCs w:val="0"/>
        </w:rPr>
        <w:t>1. 装修设计图纸。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275</Characters>
  <Lines>0</Lines>
  <Paragraphs>0</Paragraphs>
  <TotalTime>74</TotalTime>
  <ScaleCrop>false</ScaleCrop>
  <LinksUpToDate>false</LinksUpToDate>
  <CharactersWithSpaces>281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