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E9F4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装修设计图应包括土建与装修一体化设计部位的装修施工图，应</w:t>
      </w:r>
    </w:p>
    <w:p w14:paraId="096D14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与土建各专业图纸配套；工业化内装部品用量比例计算书应体现</w:t>
      </w:r>
    </w:p>
    <w:p w14:paraId="3BF0C5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项目采用的工业化内装部品的种类和工程量。</w:t>
      </w:r>
    </w:p>
    <w:p w14:paraId="0F3D27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A45FD97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1. 装修设计图纸。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zh-CN"/>
        </w:rPr>
        <w:t>2. 工业化内装部品用量比例计算书。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0</Lines>
  <Paragraphs>0</Paragraphs>
  <TotalTime>74</TotalTime>
  <ScaleCrop>false</ScaleCrop>
  <LinksUpToDate>false</LinksUpToDate>
  <CharactersWithSpaces>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