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A9BC5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8.2.5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结果反馈至 3.3.14条。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7E2A7E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建筑屋面雨水采用断接、接入室外下沉式绿地等生态设施处应</w:t>
      </w:r>
    </w:p>
    <w:p w14:paraId="33F943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设置消能措施，并提供相关设计图纸。</w:t>
      </w:r>
    </w:p>
    <w:p w14:paraId="782E95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在《水系统规划设计评审表》中填写或在设计说明中注明：</w:t>
      </w:r>
    </w:p>
    <w:p w14:paraId="7AC999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1)下凹式绿地、雨水花园等有调蓄雨水功能的绿地和水体的</w:t>
      </w:r>
    </w:p>
    <w:p w14:paraId="37FDAE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面积之和所占绿地面积比例；</w:t>
      </w:r>
    </w:p>
    <w:p w14:paraId="17879A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2）场地铺装图中注明透水铺装地面位置、面积、铺装材料和</w:t>
      </w:r>
    </w:p>
    <w:p w14:paraId="186310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透水方式。</w:t>
      </w:r>
    </w:p>
    <w:p w14:paraId="14129A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66344825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78C8B49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b w:val="0"/>
          <w:bCs w:val="0"/>
        </w:rPr>
        <w:t>景观总平面图；</w:t>
      </w:r>
    </w:p>
    <w:p w14:paraId="57B1A2BC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2.场地铺装图；</w:t>
      </w:r>
    </w:p>
    <w:p w14:paraId="46CA0F87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3.种植图；</w:t>
      </w:r>
    </w:p>
    <w:p w14:paraId="62C7D68E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4.地面生态设施详图；</w:t>
      </w:r>
    </w:p>
    <w:p w14:paraId="1EAB1106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5.《水系统规划设计评审表》；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6. 绿地及透水铺装比例计算书。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79364A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5F6B030D"/>
    <w:rsid w:val="60A2712D"/>
    <w:rsid w:val="61F868F1"/>
    <w:rsid w:val="620F7DDB"/>
    <w:rsid w:val="62B8377A"/>
    <w:rsid w:val="63F77826"/>
    <w:rsid w:val="6417189E"/>
    <w:rsid w:val="644430AA"/>
    <w:rsid w:val="64C42FBE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243</Characters>
  <Lines>0</Lines>
  <Paragraphs>0</Paragraphs>
  <TotalTime>76</TotalTime>
  <ScaleCrop>false</ScaleCrop>
  <LinksUpToDate>false</LinksUpToDate>
  <CharactersWithSpaces>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