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3.1.5</w:t>
      </w:r>
      <w:r>
        <w:rPr>
          <w:rFonts w:hint="eastAsia" w:asciiTheme="majorEastAsia" w:hAnsiTheme="majorEastAsia" w:eastAsiaTheme="majorEastAsia"/>
          <w:b/>
        </w:rPr>
        <w:t>(“安全耐久”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4.2.6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，</w:t>
      </w:r>
      <w:r>
        <w:rPr>
          <w:rFonts w:hint="eastAsia" w:asciiTheme="majorEastAsia" w:hAnsiTheme="majorEastAsia" w:eastAsiaTheme="majorEastAsia"/>
          <w:b/>
        </w:rPr>
        <w:t>本条打分时确认3.2.2 条是否满足要求)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3DE144E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设计说明应包括项目建筑类型、建筑功能、各功能区域规模的</w:t>
      </w:r>
    </w:p>
    <w:p w14:paraId="10674311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描述，应说明隔墙材料及做法；平面图应体现建筑平面布置、隔</w:t>
      </w:r>
    </w:p>
    <w:p w14:paraId="73444E18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墙的材料类别。</w:t>
      </w:r>
    </w:p>
    <w:p w14:paraId="64F53BB9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采取以下措施，满足任一条均可得分：</w:t>
      </w:r>
    </w:p>
    <w:p w14:paraId="197B25DB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1）采用大开间、大进深的布局；</w:t>
      </w:r>
      <w:bookmarkStart w:id="0" w:name="_GoBack"/>
      <w:bookmarkEnd w:id="0"/>
    </w:p>
    <w:p w14:paraId="722D4496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2）灵活布置内隔墙；</w:t>
      </w:r>
    </w:p>
    <w:p w14:paraId="65EBE311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3）提高楼面活荷载高于活荷载规范 25%以上。</w:t>
      </w:r>
    </w:p>
    <w:p w14:paraId="4FC17410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D1D17C0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1.设计说明；</w:t>
      </w:r>
    </w:p>
    <w:p w14:paraId="3723EDE0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Theme="minorEastAsia"/>
          <w:lang w:val="en-US" w:eastAsia="zh-CN"/>
        </w:rPr>
        <w:t>2.平面图。</w:t>
      </w:r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D20D22"/>
    <w:rsid w:val="23687929"/>
    <w:rsid w:val="24003DE4"/>
    <w:rsid w:val="24375649"/>
    <w:rsid w:val="29B07868"/>
    <w:rsid w:val="2A5243AF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403C501B"/>
    <w:rsid w:val="40B10364"/>
    <w:rsid w:val="413044E3"/>
    <w:rsid w:val="44C45BDC"/>
    <w:rsid w:val="462B13F8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5F113436"/>
    <w:rsid w:val="60A2712D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8FD062C"/>
    <w:rsid w:val="796B23F9"/>
    <w:rsid w:val="7A917569"/>
    <w:rsid w:val="7B897ED6"/>
    <w:rsid w:val="7BB61085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188</Characters>
  <Lines>0</Lines>
  <Paragraphs>0</Paragraphs>
  <TotalTime>68</TotalTime>
  <ScaleCrop>false</ScaleCrop>
  <LinksUpToDate>false</LinksUpToDate>
  <CharactersWithSpaces>190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2024-11-05T03:33:16Z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