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3.1.8</w:t>
      </w:r>
      <w:r>
        <w:rPr>
          <w:rFonts w:hint="eastAsia" w:asciiTheme="majorEastAsia" w:hAnsiTheme="majorEastAsia" w:eastAsiaTheme="majorEastAsia"/>
          <w:b/>
        </w:rPr>
        <w:t>(“健康舒适”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5.2.2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912609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应包括土建与装修一体化设计部位的装修施工图，应与土建各专</w:t>
      </w:r>
    </w:p>
    <w:p w14:paraId="4E13E802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业图纸配套。</w:t>
      </w:r>
    </w:p>
    <w:p w14:paraId="0A05323C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086A6F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装修设计图纸。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91064D"/>
    <w:rsid w:val="44C45BDC"/>
    <w:rsid w:val="462B13F8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DF4767B"/>
    <w:rsid w:val="5F113436"/>
    <w:rsid w:val="60A2712D"/>
    <w:rsid w:val="620F7DDB"/>
    <w:rsid w:val="62635744"/>
    <w:rsid w:val="62B8377A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333</Characters>
  <Lines>0</Lines>
  <Paragraphs>0</Paragraphs>
  <TotalTime>72</TotalTime>
  <ScaleCrop>false</ScaleCrop>
  <LinksUpToDate>false</LinksUpToDate>
  <CharactersWithSpaces>338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