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3.2.4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7.2.15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260A2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 查阅材料用量计算报告书、审查用量比例及其计算合理性。</w:t>
      </w:r>
    </w:p>
    <w:p w14:paraId="497CAB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 第 2 款第 3 项所指的施工时免支撑的楼屋面板，包括各种类型</w:t>
      </w:r>
    </w:p>
    <w:p w14:paraId="06163E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的钢筋混凝土叠合板或预应力混凝土叠合板，对于楼屋面采用工</w:t>
      </w:r>
    </w:p>
    <w:p w14:paraId="05802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具式脚手架与配套定型模板施工，可达到免抹灰效果的，视为满</w:t>
      </w:r>
    </w:p>
    <w:p w14:paraId="153F33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足要第求</w:t>
      </w:r>
    </w:p>
    <w:p w14:paraId="0FC207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3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.第3</w:t>
      </w:r>
      <w:r>
        <w:rPr>
          <w:rFonts w:hint="eastAsia" w:asciiTheme="majorEastAsia" w:hAnsiTheme="majorEastAsia" w:eastAsiaTheme="majorEastAsia"/>
          <w:b w:val="0"/>
          <w:bCs w:val="0"/>
        </w:rPr>
        <w:t>款，当建筑结构材料与构件中的地上所有竖向承重构件为</w:t>
      </w:r>
    </w:p>
    <w:p w14:paraId="6BFC47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钢构件或者钢包混凝土构件，楼面结构是钢梁与混凝土组合楼面</w:t>
      </w:r>
    </w:p>
    <w:p w14:paraId="1ECEB5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时，按第 2 款直接计算分值。</w:t>
      </w:r>
    </w:p>
    <w:p w14:paraId="7D3B79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</w:rPr>
      </w:pPr>
    </w:p>
    <w:p w14:paraId="0CC02780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39EB806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1.结构设计说明；</w:t>
      </w:r>
    </w:p>
    <w:p w14:paraId="1B45444A">
      <w:pPr>
        <w:keepNext w:val="0"/>
        <w:keepLines w:val="0"/>
        <w:widowControl/>
        <w:suppressLineNumbers w:val="0"/>
        <w:jc w:val="left"/>
      </w:pPr>
      <w:r>
        <w:rPr>
          <w:rFonts w:hint="eastAsia" w:asciiTheme="majorEastAsia" w:hAnsiTheme="majorEastAsia" w:eastAsiaTheme="majorEastAsia"/>
          <w:b w:val="0"/>
          <w:bCs w:val="0"/>
        </w:rPr>
        <w:t>2.材料用量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计算报告书</w:t>
      </w:r>
      <w:bookmarkStart w:id="0" w:name="_GoBack"/>
      <w:bookmarkEnd w:id="0"/>
      <w:r>
        <w:rPr>
          <w:rFonts w:hint="eastAsia" w:asciiTheme="majorEastAsia" w:hAnsiTheme="majorEastAsia" w:eastAsiaTheme="majorEastAsia"/>
          <w:b w:val="0"/>
          <w:bCs w:val="0"/>
        </w:rPr>
        <w:t>；</w:t>
      </w:r>
    </w:p>
    <w:p w14:paraId="602A0F8F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CE47AE3"/>
    <w:rsid w:val="0D69711E"/>
    <w:rsid w:val="0EB8709A"/>
    <w:rsid w:val="0F99780B"/>
    <w:rsid w:val="13077910"/>
    <w:rsid w:val="139C47A2"/>
    <w:rsid w:val="150F0B2F"/>
    <w:rsid w:val="19837ABF"/>
    <w:rsid w:val="1B093B81"/>
    <w:rsid w:val="1CF75C38"/>
    <w:rsid w:val="1E646837"/>
    <w:rsid w:val="1F3D609D"/>
    <w:rsid w:val="205F0072"/>
    <w:rsid w:val="21A07435"/>
    <w:rsid w:val="21D20D22"/>
    <w:rsid w:val="224A4C83"/>
    <w:rsid w:val="23687929"/>
    <w:rsid w:val="24003DE4"/>
    <w:rsid w:val="24375649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D7255E"/>
    <w:rsid w:val="33451239"/>
    <w:rsid w:val="338B5000"/>
    <w:rsid w:val="3527171E"/>
    <w:rsid w:val="360F2596"/>
    <w:rsid w:val="36356993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4711682"/>
    <w:rsid w:val="448170BD"/>
    <w:rsid w:val="44C45BDC"/>
    <w:rsid w:val="462B13F8"/>
    <w:rsid w:val="462D5F73"/>
    <w:rsid w:val="490F2B41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595FF9"/>
    <w:rsid w:val="579646BD"/>
    <w:rsid w:val="58C1665E"/>
    <w:rsid w:val="5F113436"/>
    <w:rsid w:val="5F6B030D"/>
    <w:rsid w:val="60A2712D"/>
    <w:rsid w:val="61F868F1"/>
    <w:rsid w:val="620F7DDB"/>
    <w:rsid w:val="629E0DA9"/>
    <w:rsid w:val="62B8377A"/>
    <w:rsid w:val="63751995"/>
    <w:rsid w:val="63F77826"/>
    <w:rsid w:val="6417189E"/>
    <w:rsid w:val="644430AA"/>
    <w:rsid w:val="64C42FBE"/>
    <w:rsid w:val="65963407"/>
    <w:rsid w:val="66666FC5"/>
    <w:rsid w:val="66A71F40"/>
    <w:rsid w:val="699221CD"/>
    <w:rsid w:val="6AF85D99"/>
    <w:rsid w:val="6E08415F"/>
    <w:rsid w:val="6E852CF4"/>
    <w:rsid w:val="6EE169AE"/>
    <w:rsid w:val="70A63F5D"/>
    <w:rsid w:val="70B1020A"/>
    <w:rsid w:val="71C76358"/>
    <w:rsid w:val="72BE132F"/>
    <w:rsid w:val="72E231CE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390</Characters>
  <Lines>0</Lines>
  <Paragraphs>0</Paragraphs>
  <TotalTime>2</TotalTime>
  <ScaleCrop>false</ScaleCrop>
  <LinksUpToDate>false</LinksUpToDate>
  <CharactersWithSpaces>419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2024-11-05T09:19:08Z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