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43" w:rsidRPr="00564B43" w:rsidRDefault="00564B43" w:rsidP="00564B43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564B43">
        <w:rPr>
          <w:rFonts w:ascii="Calibri" w:hAnsi="Calibri" w:cs="Times New Roman" w:hint="eastAsia"/>
          <w:b/>
          <w:bCs/>
          <w:kern w:val="0"/>
          <w:sz w:val="24"/>
          <w:szCs w:val="28"/>
        </w:rPr>
        <w:t>四、</w:t>
      </w:r>
      <w:r w:rsidRPr="00564B43">
        <w:rPr>
          <w:rFonts w:ascii="Calibri" w:hAnsi="Calibri" w:cs="Times New Roman" w:hint="eastAsia"/>
          <w:b/>
          <w:bCs/>
          <w:kern w:val="0"/>
          <w:sz w:val="28"/>
          <w:szCs w:val="28"/>
        </w:rPr>
        <w:t>基本级设计内容</w:t>
      </w:r>
      <w:r w:rsidRPr="00564B43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564B43">
        <w:rPr>
          <w:rFonts w:ascii="Calibri" w:hAnsi="Calibri" w:cs="Times New Roman" w:hint="eastAsia"/>
          <w:b/>
          <w:bCs/>
          <w:kern w:val="0"/>
          <w:sz w:val="28"/>
          <w:szCs w:val="28"/>
        </w:rPr>
        <w:t>建筑</w:t>
      </w:r>
    </w:p>
    <w:p w:rsidR="00564B43" w:rsidRPr="00564B43" w:rsidRDefault="00564B43" w:rsidP="00564B43">
      <w:pPr>
        <w:widowControl/>
        <w:numPr>
          <w:ilvl w:val="1"/>
          <w:numId w:val="5"/>
        </w:numPr>
        <w:spacing w:line="288" w:lineRule="auto"/>
        <w:ind w:left="21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建筑外墙、屋面、门窗、幕墙及外保温等围护结构满足安全、耐久和防护的要求。</w:t>
      </w:r>
    </w:p>
    <w:p w:rsidR="00564B43" w:rsidRPr="00564B43" w:rsidRDefault="00564B43" w:rsidP="00564B43">
      <w:pPr>
        <w:widowControl/>
        <w:spacing w:after="200" w:line="288" w:lineRule="auto"/>
        <w:ind w:left="-21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/>
          <w:kern w:val="0"/>
          <w:sz w:val="24"/>
        </w:rPr>
        <w:tab/>
        <w:t xml:space="preserve"> </w:t>
      </w:r>
      <w:r w:rsidRPr="00564B43">
        <w:rPr>
          <w:rFonts w:ascii="Calibri" w:hAnsi="Calibri" w:cs="Times New Roman" w:hint="eastAsia"/>
          <w:kern w:val="0"/>
          <w:sz w:val="24"/>
        </w:rPr>
        <w:t>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</w:t>
      </w:r>
      <w:r w:rsidRPr="00564B43">
        <w:rPr>
          <w:rFonts w:ascii="Calibri" w:hAnsi="Calibri" w:cs="Times New Roman" w:hint="eastAsia"/>
          <w:kern w:val="0"/>
          <w:sz w:val="24"/>
        </w:rPr>
        <w:t>。（如建筑设计总说明、工程做法和构造一览表等）</w:t>
      </w:r>
    </w:p>
    <w:p w:rsidR="00564B43" w:rsidRPr="00564B43" w:rsidRDefault="00564B43" w:rsidP="00564B43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建筑内部的非结构构件、设备及附属设施等连接牢固并能适应主体结构变形及抗震要求。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建筑内部的非结构构件、设备及附属设施与建筑主体的连接方式：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989393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机械固定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271757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焊接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568612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预埋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224710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一体化建造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310618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以上皆无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非结构构件和主体构件的连接情况，设备及附属设施的位置、尺寸、构造详见图纸：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1"/>
        </w:numPr>
        <w:spacing w:before="200" w:after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建筑外门窗必须安装牢固，其抗风压</w:t>
      </w:r>
      <w:r w:rsidRPr="00564B43">
        <w:rPr>
          <w:rFonts w:ascii="Calibri" w:hAnsi="Calibri" w:cs="Times New Roman"/>
          <w:sz w:val="24"/>
          <w:szCs w:val="24"/>
        </w:rPr>
        <w:t>性能和水密性能应</w:t>
      </w:r>
      <w:r w:rsidRPr="00564B43">
        <w:rPr>
          <w:rFonts w:ascii="Calibri" w:hAnsi="Calibri" w:cs="Times New Roman" w:hint="eastAsia"/>
          <w:sz w:val="24"/>
          <w:szCs w:val="24"/>
        </w:rPr>
        <w:t>符合国家</w:t>
      </w:r>
      <w:r w:rsidRPr="00564B43">
        <w:rPr>
          <w:rFonts w:ascii="Calibri" w:hAnsi="Calibri" w:cs="Times New Roman"/>
          <w:sz w:val="24"/>
          <w:szCs w:val="24"/>
        </w:rPr>
        <w:t>现行</w:t>
      </w:r>
      <w:r w:rsidRPr="00564B43">
        <w:rPr>
          <w:rFonts w:ascii="Calibri" w:hAnsi="Calibri" w:cs="Times New Roman" w:hint="eastAsia"/>
          <w:sz w:val="24"/>
          <w:szCs w:val="24"/>
        </w:rPr>
        <w:t>有关标准</w:t>
      </w:r>
      <w:r w:rsidRPr="00564B43">
        <w:rPr>
          <w:rFonts w:ascii="Calibri" w:hAnsi="Calibri" w:cs="Times New Roman"/>
          <w:sz w:val="24"/>
          <w:szCs w:val="24"/>
        </w:rPr>
        <w:t>的规定</w:t>
      </w:r>
      <w:r w:rsidRPr="00564B43">
        <w:rPr>
          <w:rFonts w:ascii="Calibri" w:hAnsi="Calibri" w:cs="Times New Roman" w:hint="eastAsia"/>
          <w:sz w:val="24"/>
          <w:szCs w:val="24"/>
        </w:rPr>
        <w:t>。详见</w:t>
      </w:r>
      <w:r w:rsidRPr="00564B43">
        <w:rPr>
          <w:rFonts w:ascii="Calibri" w:hAnsi="Calibri" w:cs="Times New Roman" w:hint="eastAsia"/>
          <w:sz w:val="24"/>
          <w:szCs w:val="21"/>
          <w:u w:val="single"/>
        </w:rPr>
        <w:t xml:space="preserve">            </w:t>
      </w:r>
      <w:r w:rsidRPr="00564B43">
        <w:rPr>
          <w:rFonts w:ascii="Calibri" w:hAnsi="Calibri" w:cs="Times New Roman" w:hint="eastAsia"/>
          <w:sz w:val="24"/>
          <w:szCs w:val="24"/>
        </w:rPr>
        <w:t>（建筑设计说明、门窗详图、门窗表、</w:t>
      </w:r>
      <w:r w:rsidRPr="00564B43">
        <w:rPr>
          <w:rFonts w:ascii="Calibri" w:hAnsi="Calibri" w:cs="Times New Roman"/>
          <w:sz w:val="24"/>
          <w:szCs w:val="24"/>
        </w:rPr>
        <w:t>检测报告</w:t>
      </w:r>
      <w:r w:rsidRPr="00564B43">
        <w:rPr>
          <w:rFonts w:ascii="Calibri" w:hAnsi="Calibri" w:cs="Times New Roman" w:hint="eastAsia"/>
          <w:sz w:val="24"/>
          <w:szCs w:val="24"/>
        </w:rPr>
        <w:t>等）。</w:t>
      </w:r>
    </w:p>
    <w:p w:rsidR="00564B43" w:rsidRPr="00564B43" w:rsidRDefault="00564B43" w:rsidP="00564B43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外部设施与建筑主体结构统一设计、施工，并具备安装、检修与维护条件。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建筑外部有以下设施：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659888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外遮阳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921735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太阳能设施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32905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空调室外机位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970097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外墙花池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607188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广告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414562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店招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4338504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检修通道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35792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马道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858384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吊篮固定端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002368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预埋件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931080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  <w:lang w:val="zh-CN"/>
        </w:rPr>
        <w:t>其他</w:t>
      </w:r>
      <w:r w:rsidRPr="00564B43">
        <w:rPr>
          <w:rFonts w:ascii="Calibri" w:hAnsi="Calibri" w:cs="Times New Roman" w:hint="eastAsia"/>
          <w:kern w:val="0"/>
          <w:sz w:val="24"/>
          <w:szCs w:val="21"/>
        </w:rPr>
        <w:t>：</w:t>
      </w:r>
      <w:r w:rsidRPr="00564B43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 </w:t>
      </w:r>
      <w:r w:rsidRPr="00564B43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连接牢固保障安装、检修与维护的措施：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</w:t>
      </w:r>
      <w:r w:rsidRPr="00564B43">
        <w:rPr>
          <w:rFonts w:ascii="Calibri" w:hAnsi="Calibri" w:cs="Times New Roman" w:hint="eastAsia"/>
          <w:kern w:val="0"/>
          <w:sz w:val="24"/>
        </w:rPr>
        <w:t>；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外部设施的位置、尺寸、构造详见图纸：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建筑造型要素简约，无大量装饰性构件。</w:t>
      </w:r>
    </w:p>
    <w:p w:rsidR="00564B43" w:rsidRPr="00564B43" w:rsidRDefault="00564B43" w:rsidP="00564B43">
      <w:pPr>
        <w:widowControl/>
        <w:spacing w:line="288" w:lineRule="auto"/>
        <w:ind w:left="-210" w:firstLine="35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《工程概算书》、《装饰性构件造价比例计算书》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3298008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b/>
          <w:kern w:val="0"/>
          <w:sz w:val="24"/>
        </w:rPr>
        <w:t>居住建筑：</w:t>
      </w:r>
    </w:p>
    <w:p w:rsidR="00564B43" w:rsidRPr="00564B43" w:rsidRDefault="00564B43" w:rsidP="00564B43">
      <w:pPr>
        <w:widowControl/>
        <w:ind w:left="142"/>
        <w:jc w:val="left"/>
        <w:rPr>
          <w:rFonts w:ascii="Calibri" w:hAnsi="Calibri" w:cs="Times New Roman"/>
          <w:kern w:val="0"/>
          <w:sz w:val="24"/>
          <w:lang w:val="zh-CN"/>
        </w:rPr>
      </w:pPr>
      <w:r w:rsidRPr="00564B43">
        <w:rPr>
          <w:rFonts w:ascii="Calibri" w:hAnsi="Calibri" w:cs="Times New Roman"/>
          <w:kern w:val="0"/>
          <w:sz w:val="24"/>
        </w:rPr>
        <w:lastRenderedPageBreak/>
        <w:t>纯装饰性构件的造价：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</w:rPr>
        <w:t>（万元），</w:t>
      </w:r>
      <w:r w:rsidRPr="00564B43">
        <w:rPr>
          <w:rFonts w:ascii="Calibri" w:hAnsi="Calibri" w:cs="Times New Roman"/>
          <w:kern w:val="0"/>
          <w:sz w:val="24"/>
          <w:lang w:val="zh-CN"/>
        </w:rPr>
        <w:t>工程总造价：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  <w:lang w:val="zh-CN"/>
        </w:rPr>
        <w:t>（万元）；</w:t>
      </w:r>
    </w:p>
    <w:p w:rsidR="00564B43" w:rsidRPr="00564B43" w:rsidRDefault="00564B43" w:rsidP="00564B43">
      <w:pPr>
        <w:widowControl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/>
          <w:kern w:val="0"/>
          <w:sz w:val="24"/>
          <w:lang w:val="zh-CN"/>
        </w:rPr>
        <w:t>纯装饰性构件造价占工程总造价的比例：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Times New Roman"/>
          <w:kern w:val="0"/>
          <w:sz w:val="24"/>
          <w:lang w:val="zh-CN"/>
        </w:rPr>
        <w:t>＜</w:t>
      </w:r>
      <w:r w:rsidRPr="00564B43">
        <w:rPr>
          <w:rFonts w:ascii="Calibri" w:hAnsi="Calibri" w:cs="Times New Roman"/>
          <w:kern w:val="0"/>
          <w:sz w:val="24"/>
          <w:lang w:val="zh-CN"/>
        </w:rPr>
        <w:t>2%</w:t>
      </w:r>
      <w:r w:rsidRPr="00564B43">
        <w:rPr>
          <w:rFonts w:ascii="Calibri" w:hAnsi="Calibri" w:cs="Times New Roman"/>
          <w:kern w:val="0"/>
          <w:sz w:val="24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-21381702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b/>
          <w:kern w:val="0"/>
          <w:sz w:val="24"/>
        </w:rPr>
        <w:t>公共建筑：</w:t>
      </w:r>
    </w:p>
    <w:p w:rsidR="00564B43" w:rsidRPr="00564B43" w:rsidRDefault="00564B43" w:rsidP="00564B43">
      <w:pPr>
        <w:widowControl/>
        <w:ind w:left="142"/>
        <w:jc w:val="left"/>
        <w:rPr>
          <w:rFonts w:ascii="Calibri" w:hAnsi="Calibri" w:cs="宋体"/>
          <w:kern w:val="0"/>
          <w:sz w:val="24"/>
          <w:lang w:val="zh-CN"/>
        </w:rPr>
      </w:pPr>
      <w:r w:rsidRPr="00564B43">
        <w:rPr>
          <w:rFonts w:ascii="Calibri" w:hAnsi="Calibri" w:cs="宋体" w:hint="eastAsia"/>
          <w:kern w:val="0"/>
          <w:sz w:val="24"/>
        </w:rPr>
        <w:t>装饰性构件的造价：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宋体" w:hint="eastAsia"/>
          <w:kern w:val="0"/>
          <w:sz w:val="24"/>
        </w:rPr>
        <w:t>（万元），</w:t>
      </w:r>
      <w:r w:rsidRPr="00564B43">
        <w:rPr>
          <w:rFonts w:ascii="Calibri" w:hAnsi="Calibri" w:cs="宋体" w:hint="eastAsia"/>
          <w:kern w:val="0"/>
          <w:sz w:val="24"/>
          <w:lang w:val="zh-CN"/>
        </w:rPr>
        <w:t>工程总造价：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宋体" w:hint="eastAsia"/>
          <w:kern w:val="0"/>
          <w:sz w:val="24"/>
          <w:lang w:val="zh-CN"/>
        </w:rPr>
        <w:t>（万元）；</w:t>
      </w:r>
    </w:p>
    <w:p w:rsidR="00564B43" w:rsidRPr="00564B43" w:rsidRDefault="00564B43" w:rsidP="00564B43">
      <w:pPr>
        <w:widowControl/>
        <w:ind w:left="142"/>
        <w:jc w:val="left"/>
        <w:rPr>
          <w:rFonts w:ascii="Calibri" w:hAnsi="Calibri" w:cs="宋体"/>
          <w:kern w:val="0"/>
          <w:sz w:val="24"/>
          <w:u w:val="single"/>
          <w:lang w:val="zh-CN"/>
        </w:rPr>
      </w:pPr>
      <w:r w:rsidRPr="00564B43">
        <w:rPr>
          <w:rFonts w:ascii="Calibri" w:hAnsi="Calibri" w:cs="宋体" w:hint="eastAsia"/>
          <w:kern w:val="0"/>
          <w:sz w:val="24"/>
          <w:lang w:val="zh-CN"/>
        </w:rPr>
        <w:t>纯装饰性构件造价占工程总造价的比例：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Times New Roman"/>
          <w:kern w:val="0"/>
          <w:sz w:val="24"/>
          <w:lang w:val="zh-CN"/>
        </w:rPr>
        <w:t>＜</w:t>
      </w:r>
      <w:r w:rsidRPr="00564B43">
        <w:rPr>
          <w:rFonts w:ascii="Calibri" w:hAnsi="Calibri" w:cs="Times New Roman" w:hint="eastAsia"/>
          <w:kern w:val="0"/>
          <w:sz w:val="24"/>
          <w:lang w:val="zh-CN"/>
        </w:rPr>
        <w:t>1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宋体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Segoe UI Symbol" w:hAnsi="Segoe UI Symbol" w:cs="Segoe UI Symbol" w:hint="eastAsia"/>
            <w:sz w:val="24"/>
            <w:szCs w:val="21"/>
          </w:rPr>
          <w:id w:val="-14152369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4"/>
        </w:rPr>
        <w:t>卫生间、</w:t>
      </w:r>
      <w:sdt>
        <w:sdtPr>
          <w:rPr>
            <w:rFonts w:ascii="Segoe UI Symbol" w:hAnsi="Segoe UI Symbol" w:cs="Segoe UI Symbol" w:hint="eastAsia"/>
            <w:sz w:val="24"/>
            <w:szCs w:val="21"/>
          </w:rPr>
          <w:id w:val="16039909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4"/>
        </w:rPr>
        <w:t>浴室、</w:t>
      </w:r>
      <w:sdt>
        <w:sdtPr>
          <w:rPr>
            <w:rFonts w:ascii="Segoe UI Symbol" w:hAnsi="Segoe UI Symbol" w:cs="Segoe UI Symbol" w:hint="eastAsia"/>
            <w:sz w:val="24"/>
            <w:szCs w:val="21"/>
          </w:rPr>
          <w:id w:val="-387476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4"/>
        </w:rPr>
        <w:t>其他</w:t>
      </w:r>
      <w:r w:rsidRPr="00564B43">
        <w:rPr>
          <w:rFonts w:ascii="Calibri" w:hAnsi="Calibri" w:cs="Times New Roman" w:hint="eastAsia"/>
          <w:sz w:val="24"/>
          <w:szCs w:val="24"/>
        </w:rPr>
        <w:t>:</w:t>
      </w:r>
      <w:r w:rsidRPr="00564B43">
        <w:rPr>
          <w:rFonts w:ascii="Calibri" w:hAnsi="Calibri" w:cs="Times New Roman" w:hint="eastAsia"/>
          <w:sz w:val="24"/>
          <w:szCs w:val="24"/>
          <w:u w:val="single"/>
        </w:rPr>
        <w:t xml:space="preserve">        </w:t>
      </w:r>
      <w:r w:rsidRPr="00564B43">
        <w:rPr>
          <w:rFonts w:ascii="Calibri" w:hAnsi="Calibri" w:cs="Times New Roman" w:hint="eastAsia"/>
          <w:sz w:val="24"/>
          <w:szCs w:val="24"/>
        </w:rPr>
        <w:t>的地面设置防水层，墙面、顶棚设置防潮层。</w:t>
      </w:r>
    </w:p>
    <w:p w:rsidR="00564B43" w:rsidRPr="00564B43" w:rsidRDefault="00564B43" w:rsidP="00564B43">
      <w:pPr>
        <w:widowControl/>
        <w:spacing w:line="288" w:lineRule="auto"/>
        <w:ind w:left="-210" w:firstLineChars="150" w:firstLine="36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防水、防潮措施详见图纸或说明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走廊、疏散通道等通行空间满足现行《建筑设计防火规范》</w:t>
      </w:r>
      <w:r w:rsidRPr="00564B43">
        <w:rPr>
          <w:rFonts w:ascii="Calibri" w:hAnsi="Calibri" w:cs="Times New Roman" w:hint="eastAsia"/>
          <w:sz w:val="24"/>
          <w:szCs w:val="24"/>
        </w:rPr>
        <w:t>GB 50016</w:t>
      </w:r>
      <w:r w:rsidRPr="00564B43">
        <w:rPr>
          <w:rFonts w:ascii="Calibri" w:hAnsi="Calibri" w:cs="Times New Roman" w:hint="eastAsia"/>
          <w:sz w:val="24"/>
          <w:szCs w:val="24"/>
        </w:rPr>
        <w:t>、《防灾避难场所设计规范》</w:t>
      </w:r>
      <w:r w:rsidRPr="00564B43">
        <w:rPr>
          <w:rFonts w:ascii="Calibri" w:hAnsi="Calibri" w:cs="Times New Roman" w:hint="eastAsia"/>
          <w:sz w:val="24"/>
          <w:szCs w:val="24"/>
        </w:rPr>
        <w:t>GB 51143</w:t>
      </w:r>
      <w:r w:rsidRPr="00564B43">
        <w:rPr>
          <w:rFonts w:ascii="Calibri" w:hAnsi="Calibri" w:cs="Times New Roman" w:hint="eastAsia"/>
          <w:sz w:val="24"/>
          <w:szCs w:val="24"/>
        </w:rPr>
        <w:t>对紧急疏散、应急救护等要求，且保持畅通。</w:t>
      </w:r>
    </w:p>
    <w:p w:rsidR="00564B43" w:rsidRPr="00564B43" w:rsidRDefault="00564B43" w:rsidP="00564B43">
      <w:pPr>
        <w:spacing w:line="288" w:lineRule="auto"/>
        <w:ind w:left="147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合理设置以下设施或措施：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1182578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担架电梯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9493618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避难层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6810394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安全疏散出口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8374938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安全疏散宽度计算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8984687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走道宽度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9017968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安全疏散距离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2323060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防火分区示意图</w:t>
      </w:r>
    </w:p>
    <w:p w:rsidR="00564B43" w:rsidRPr="00564B43" w:rsidRDefault="00564B43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3666866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sz w:val="24"/>
          <w:szCs w:val="21"/>
        </w:rPr>
        <w:t>其他：</w:t>
      </w:r>
      <w:r w:rsidRPr="00564B43">
        <w:rPr>
          <w:rFonts w:ascii="Calibri" w:hAnsi="Calibri" w:cs="Times New Roman" w:hint="eastAsia"/>
          <w:sz w:val="24"/>
          <w:szCs w:val="21"/>
          <w:u w:val="single"/>
        </w:rPr>
        <w:t xml:space="preserve">                </w:t>
      </w:r>
      <w:r w:rsidRPr="00564B43">
        <w:rPr>
          <w:rFonts w:ascii="Calibri" w:hAnsi="Calibri" w:cs="Times New Roman" w:hint="eastAsia"/>
          <w:sz w:val="24"/>
          <w:szCs w:val="21"/>
        </w:rPr>
        <w:t>；</w:t>
      </w:r>
    </w:p>
    <w:p w:rsidR="00564B43" w:rsidRPr="00564B43" w:rsidRDefault="00564B43" w:rsidP="00564B43">
      <w:pPr>
        <w:spacing w:line="288" w:lineRule="auto"/>
        <w:ind w:left="147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详见图纸</w:t>
      </w:r>
      <w:r w:rsidRPr="00564B43">
        <w:rPr>
          <w:rFonts w:ascii="Calibri" w:hAnsi="Calibri" w:cs="Times New Roman" w:hint="eastAsia"/>
          <w:sz w:val="24"/>
          <w:szCs w:val="24"/>
          <w:u w:val="single"/>
        </w:rPr>
        <w:t xml:space="preserve">                </w:t>
      </w:r>
      <w:r w:rsidRPr="00564B43">
        <w:rPr>
          <w:rFonts w:ascii="Calibri" w:hAnsi="Calibri" w:cs="Times New Roman" w:hint="eastAsia"/>
          <w:sz w:val="24"/>
          <w:szCs w:val="24"/>
        </w:rPr>
        <w:t>。（防火分区示意图及疏散宽度计算等）</w:t>
      </w:r>
    </w:p>
    <w:p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具有安全防护的警示和引导标识系统。</w:t>
      </w:r>
    </w:p>
    <w:p w:rsidR="00564B43" w:rsidRPr="00564B43" w:rsidRDefault="00564B43" w:rsidP="00564B43">
      <w:pPr>
        <w:widowControl/>
        <w:spacing w:line="288" w:lineRule="auto"/>
        <w:ind w:left="-210" w:firstLineChars="150" w:firstLine="36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设置位置详见图纸（文件）：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建筑内外均设置便于识别和使用的标识系统。</w:t>
      </w:r>
    </w:p>
    <w:p w:rsidR="00564B43" w:rsidRPr="00564B43" w:rsidRDefault="00564B43" w:rsidP="00564B43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  <w:u w:val="single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725175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</w:rPr>
        <w:t>是，设置位置详见图纸</w:t>
      </w:r>
      <w:r w:rsidRPr="00564B43">
        <w:rPr>
          <w:rFonts w:ascii="Calibri" w:hAnsi="Calibri" w:cs="Times New Roman" w:hint="eastAsia"/>
          <w:kern w:val="0"/>
          <w:sz w:val="24"/>
        </w:rPr>
        <w:t>/</w:t>
      </w:r>
      <w:r w:rsidRPr="00564B43">
        <w:rPr>
          <w:rFonts w:ascii="Calibri" w:hAnsi="Calibri" w:cs="Times New Roman" w:hint="eastAsia"/>
          <w:kern w:val="0"/>
          <w:sz w:val="24"/>
        </w:rPr>
        <w:t>文件：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Pr="00564B43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189590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</w:rPr>
        <w:t>否。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合理设置以下标识：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468250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人车分流标识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616652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公共交通接驳引导标识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146616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易于老年人识别的标识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871521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满足儿童使用需求与身高匹配的标识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275232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无障碍标识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670360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楼座及配套设施定位标识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161082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健身慢行道导向标识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836807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公共卫生间导向标识</w:t>
      </w:r>
    </w:p>
    <w:p w:rsidR="00564B43" w:rsidRPr="00564B43" w:rsidRDefault="00564B43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423336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  <w:szCs w:val="21"/>
        </w:rPr>
        <w:t>其他促进建筑便捷实用的导向标识：</w:t>
      </w:r>
      <w:r w:rsidRPr="00564B43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Pr="00564B43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lastRenderedPageBreak/>
        <w:t>室内空气中的氨、甲醛、苯、总挥发性有机物、氡等污染物浓度符合现行国家标准《室内空气质量标准》</w:t>
      </w:r>
      <w:r w:rsidRPr="00564B43">
        <w:rPr>
          <w:rFonts w:ascii="Calibri" w:hAnsi="Calibri" w:cs="Times New Roman" w:hint="eastAsia"/>
          <w:sz w:val="24"/>
          <w:szCs w:val="24"/>
        </w:rPr>
        <w:t>GB/T 18883</w:t>
      </w:r>
      <w:r w:rsidRPr="00564B43">
        <w:rPr>
          <w:rFonts w:ascii="Calibri" w:hAnsi="Calibri" w:cs="Times New Roman" w:hint="eastAsia"/>
          <w:sz w:val="24"/>
          <w:szCs w:val="24"/>
        </w:rPr>
        <w:t>的有关规定。建筑室内和建筑主出入口处禁止吸烟，并在醒目位置设置禁烟标志。</w:t>
      </w:r>
    </w:p>
    <w:p w:rsidR="00564B43" w:rsidRDefault="00564B43" w:rsidP="00564B43">
      <w:pPr>
        <w:widowControl/>
        <w:spacing w:line="288" w:lineRule="auto"/>
        <w:ind w:left="419" w:hanging="209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主要功能房间污染物浓度符合现行国家标准《民用建筑工程室内环境污染控制规范》</w:t>
      </w:r>
      <w:r w:rsidRPr="00564B43">
        <w:rPr>
          <w:rFonts w:ascii="Calibri" w:hAnsi="Calibri" w:cs="Times New Roman" w:hint="eastAsia"/>
          <w:kern w:val="0"/>
          <w:sz w:val="24"/>
        </w:rPr>
        <w:t>GB 50325</w:t>
      </w:r>
      <w:r w:rsidRPr="00564B43">
        <w:rPr>
          <w:rFonts w:ascii="Calibri" w:hAnsi="Calibri" w:cs="Times New Roman" w:hint="eastAsia"/>
          <w:kern w:val="0"/>
          <w:sz w:val="24"/>
        </w:rPr>
        <w:t>的有关要求，主要功能房间污染物浓度详</w:t>
      </w:r>
      <w:r>
        <w:rPr>
          <w:rFonts w:ascii="Calibri" w:hAnsi="Calibri" w:cs="Times New Roman" w:hint="eastAsia"/>
          <w:kern w:val="0"/>
          <w:sz w:val="24"/>
        </w:rPr>
        <w:t>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 w:hint="eastAsia"/>
          <w:kern w:val="0"/>
          <w:sz w:val="24"/>
        </w:rPr>
        <w:t>（建筑设计说明及工程做法或装修工程一览表等）；</w:t>
      </w:r>
    </w:p>
    <w:p w:rsidR="00564B43" w:rsidRPr="00564B43" w:rsidRDefault="00564B43" w:rsidP="00564B43">
      <w:pPr>
        <w:widowControl/>
        <w:spacing w:line="288" w:lineRule="auto"/>
        <w:ind w:left="419" w:hanging="209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禁烟标志、吸烟区的设置位置详见图纸：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主要功能房间的室内噪声级和隔声性能符合下列规定：</w:t>
      </w:r>
      <w:r w:rsidRPr="00564B43">
        <w:rPr>
          <w:rFonts w:ascii="Calibri" w:hAnsi="Calibri" w:cs="Times New Roman"/>
          <w:sz w:val="24"/>
          <w:szCs w:val="24"/>
        </w:rPr>
        <w:t xml:space="preserve"> 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1</w:t>
      </w:r>
      <w:r w:rsidRPr="00564B43">
        <w:rPr>
          <w:rFonts w:ascii="Calibri" w:hAnsi="Calibri" w:cs="Times New Roman" w:hint="eastAsia"/>
          <w:kern w:val="0"/>
          <w:sz w:val="24"/>
        </w:rPr>
        <w:t>）室内噪声级满足现行国家标准《民用建筑隔声设计规范》</w:t>
      </w:r>
      <w:r w:rsidRPr="00564B43">
        <w:rPr>
          <w:rFonts w:ascii="Calibri" w:hAnsi="Calibri" w:cs="Times New Roman" w:hint="eastAsia"/>
          <w:kern w:val="0"/>
          <w:sz w:val="24"/>
        </w:rPr>
        <w:t>GB 50118</w:t>
      </w:r>
      <w:r w:rsidRPr="00564B43">
        <w:rPr>
          <w:rFonts w:ascii="Calibri" w:hAnsi="Calibri" w:cs="Times New Roman" w:hint="eastAsia"/>
          <w:kern w:val="0"/>
          <w:sz w:val="24"/>
        </w:rPr>
        <w:t>中的低限要求；详见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《室内噪声级分析报告》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2</w:t>
      </w:r>
      <w:r w:rsidRPr="00564B43">
        <w:rPr>
          <w:rFonts w:ascii="Calibri" w:hAnsi="Calibri" w:cs="Times New Roman" w:hint="eastAsia"/>
          <w:kern w:val="0"/>
          <w:sz w:val="24"/>
        </w:rPr>
        <w:t>）外墙、隔墙、楼板和门窗的隔声性能满足现行国家标准《民用建筑隔声设计规范》</w:t>
      </w:r>
      <w:r w:rsidRPr="00564B43">
        <w:rPr>
          <w:rFonts w:ascii="Calibri" w:hAnsi="Calibri" w:cs="Times New Roman" w:hint="eastAsia"/>
          <w:kern w:val="0"/>
          <w:sz w:val="24"/>
        </w:rPr>
        <w:t>GB 50118</w:t>
      </w:r>
      <w:r w:rsidRPr="00564B43">
        <w:rPr>
          <w:rFonts w:ascii="Calibri" w:hAnsi="Calibri" w:cs="Times New Roman" w:hint="eastAsia"/>
          <w:kern w:val="0"/>
          <w:sz w:val="24"/>
        </w:rPr>
        <w:t>中的低限要求；详见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《围护结构隔声性能分析报告》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围护结构热工性能符合下列规定：</w:t>
      </w:r>
      <w:r w:rsidRPr="00564B43">
        <w:rPr>
          <w:rFonts w:ascii="Calibri" w:hAnsi="Calibri" w:cs="Times New Roman"/>
          <w:sz w:val="24"/>
          <w:szCs w:val="24"/>
        </w:rPr>
        <w:t xml:space="preserve"> 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1</w:t>
      </w:r>
      <w:r w:rsidRPr="00564B43">
        <w:rPr>
          <w:rFonts w:ascii="Calibri" w:hAnsi="Calibri" w:cs="Times New Roman" w:hint="eastAsia"/>
          <w:kern w:val="0"/>
          <w:sz w:val="24"/>
        </w:rPr>
        <w:t>）在室内设计温度、湿度条件下，建筑非透光围护结构内表面不得结露；详见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《建筑围护结构结露验算计算书》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2</w:t>
      </w:r>
      <w:r w:rsidRPr="00564B43">
        <w:rPr>
          <w:rFonts w:ascii="Calibri" w:hAnsi="Calibri" w:cs="Times New Roman" w:hint="eastAsia"/>
          <w:kern w:val="0"/>
          <w:sz w:val="24"/>
        </w:rPr>
        <w:t>）供暖建筑的屋面、外墙内部不产生冷凝；详见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《建筑围护结构内部冷凝验算计算书》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3</w:t>
      </w:r>
      <w:r w:rsidRPr="00564B43">
        <w:rPr>
          <w:rFonts w:ascii="Calibri" w:hAnsi="Calibri" w:cs="Times New Roman" w:hint="eastAsia"/>
          <w:kern w:val="0"/>
          <w:sz w:val="24"/>
        </w:rPr>
        <w:t>）屋顶和外墙隔热性能满足现行国家标准《民用建筑热工设计规范》</w:t>
      </w:r>
      <w:r w:rsidRPr="00564B43">
        <w:rPr>
          <w:rFonts w:ascii="Calibri" w:hAnsi="Calibri" w:cs="Times New Roman" w:hint="eastAsia"/>
          <w:kern w:val="0"/>
          <w:sz w:val="24"/>
        </w:rPr>
        <w:t>GB 50176</w:t>
      </w:r>
      <w:r w:rsidRPr="00564B43">
        <w:rPr>
          <w:rFonts w:ascii="Calibri" w:hAnsi="Calibri" w:cs="Times New Roman" w:hint="eastAsia"/>
          <w:kern w:val="0"/>
          <w:sz w:val="24"/>
        </w:rPr>
        <w:t>的要求；详见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《屋顶和东西外墙内表面温度计算书》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Pr="00564B43" w:rsidRDefault="00564B43" w:rsidP="00564B43">
      <w:pPr>
        <w:widowControl/>
        <w:numPr>
          <w:ilvl w:val="0"/>
          <w:numId w:val="4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结合场地自然条件和建筑功能需求，对建筑的体形、平面布局、空间尺度、围护结构等进行节能设计，且符合国家有关节能设计的要求。</w:t>
      </w:r>
    </w:p>
    <w:p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建筑朝向：</w:t>
      </w:r>
      <w:r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564B43">
        <w:rPr>
          <w:rFonts w:ascii="Calibri" w:hAnsi="Calibri" w:cs="Times New Roman" w:hint="eastAsia"/>
          <w:kern w:val="0"/>
          <w:sz w:val="24"/>
        </w:rPr>
        <w:t>；建筑的楼间距最小为：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>
        <w:rPr>
          <w:rFonts w:ascii="Calibri" w:hAnsi="Calibri" w:cs="Times New Roman"/>
          <w:kern w:val="0"/>
          <w:sz w:val="24"/>
          <w:u w:val="single"/>
        </w:rPr>
        <w:t xml:space="preserve"> 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r w:rsidRPr="00564B43">
        <w:rPr>
          <w:rFonts w:ascii="Calibri" w:hAnsi="Calibri" w:cs="Times New Roman" w:hint="eastAsia"/>
          <w:kern w:val="0"/>
          <w:sz w:val="24"/>
        </w:rPr>
        <w:t>，这两栋楼为：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详见：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节能设计专篇、节能计算书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:rsidR="00564B43" w:rsidRDefault="00564B43" w:rsidP="00564B43">
      <w:pPr>
        <w:widowControl/>
        <w:spacing w:before="200" w:line="288" w:lineRule="auto"/>
        <w:ind w:left="210" w:hanging="420"/>
        <w:jc w:val="left"/>
        <w:rPr>
          <w:rFonts w:ascii="Calibri" w:hAnsi="Calibri" w:cs="Times New Roman"/>
          <w:kern w:val="0"/>
          <w:sz w:val="24"/>
        </w:rPr>
      </w:pPr>
      <w:r>
        <w:rPr>
          <w:rFonts w:ascii="Calibri" w:hAnsi="Calibri" w:cs="Times New Roman"/>
          <w:sz w:val="24"/>
          <w:szCs w:val="24"/>
        </w:rPr>
        <w:t>14</w:t>
      </w:r>
      <w:r>
        <w:rPr>
          <w:rFonts w:ascii="Calibri" w:hAnsi="Calibri" w:cs="Times New Roman" w:hint="eastAsia"/>
          <w:sz w:val="24"/>
          <w:szCs w:val="24"/>
        </w:rPr>
        <w:t>、</w:t>
      </w:r>
      <w:r w:rsidRPr="00564B43">
        <w:rPr>
          <w:rFonts w:ascii="Calibri" w:hAnsi="Calibri" w:cs="Times New Roman" w:hint="eastAsia"/>
          <w:kern w:val="0"/>
          <w:sz w:val="24"/>
        </w:rPr>
        <w:t>生活垃圾分类收集，垃圾容器和收集点的设置合理并与周围景观协调：</w:t>
      </w:r>
    </w:p>
    <w:p w:rsidR="003F79B6" w:rsidRPr="00564B43" w:rsidRDefault="00564B43" w:rsidP="00564B43">
      <w:pPr>
        <w:widowControl/>
        <w:spacing w:line="288" w:lineRule="auto"/>
        <w:ind w:left="210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Segoe UI Symbol" w:hAnsi="Segoe UI Symbol" w:cs="Segoe UI Symbol" w:hint="eastAsia"/>
            <w:kern w:val="0"/>
            <w:sz w:val="24"/>
            <w:szCs w:val="21"/>
          </w:rPr>
          <w:id w:val="10858134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Segoe UI Symbol" w:hAnsi="Segoe UI Symbol" w:cs="Segoe UI Symbol" w:hint="eastAsia"/>
            <w:kern w:val="0"/>
            <w:sz w:val="24"/>
            <w:szCs w:val="21"/>
          </w:rPr>
          <w:id w:val="-12868164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1"/>
            </w:rPr>
            <w:t>☐</w:t>
          </w:r>
        </w:sdtContent>
      </w:sdt>
      <w:r w:rsidRPr="00564B43">
        <w:rPr>
          <w:rFonts w:ascii="Calibri" w:hAnsi="Calibri" w:cs="Times New Roman" w:hint="eastAsia"/>
          <w:kern w:val="0"/>
          <w:sz w:val="24"/>
        </w:rPr>
        <w:t>否，设置位置详见图纸</w:t>
      </w:r>
      <w:r w:rsidRPr="00564B43">
        <w:rPr>
          <w:rFonts w:ascii="Calibri" w:hAnsi="Calibri" w:cs="Times New Roman" w:hint="eastAsia"/>
          <w:kern w:val="0"/>
          <w:sz w:val="24"/>
        </w:rPr>
        <w:t>/</w:t>
      </w:r>
      <w:r w:rsidRPr="00564B43">
        <w:rPr>
          <w:rFonts w:ascii="Calibri" w:hAnsi="Calibri" w:cs="Times New Roman" w:hint="eastAsia"/>
          <w:kern w:val="0"/>
          <w:sz w:val="24"/>
        </w:rPr>
        <w:t>文件：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</w:t>
      </w:r>
      <w:bookmarkStart w:id="0" w:name="_GoBack"/>
      <w:bookmarkEnd w:id="0"/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sectPr w:rsidR="003F79B6" w:rsidRPr="0056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AB" w:rsidRDefault="006D1FAB" w:rsidP="00564B43">
      <w:r>
        <w:separator/>
      </w:r>
    </w:p>
  </w:endnote>
  <w:endnote w:type="continuationSeparator" w:id="0">
    <w:p w:rsidR="006D1FAB" w:rsidRDefault="006D1FAB" w:rsidP="0056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AB" w:rsidRDefault="006D1FAB" w:rsidP="00564B43">
      <w:r>
        <w:separator/>
      </w:r>
    </w:p>
  </w:footnote>
  <w:footnote w:type="continuationSeparator" w:id="0">
    <w:p w:rsidR="006D1FAB" w:rsidRDefault="006D1FAB" w:rsidP="0056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71379"/>
    <w:multiLevelType w:val="multilevel"/>
    <w:tmpl w:val="A8A2F2BE"/>
    <w:lvl w:ilvl="0">
      <w:start w:val="13"/>
      <w:numFmt w:val="decimal"/>
      <w:suff w:val="nothing"/>
      <w:lvlText w:val="%1、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F985CF9"/>
    <w:multiLevelType w:val="multilevel"/>
    <w:tmpl w:val="C2A0E4F6"/>
    <w:lvl w:ilvl="0">
      <w:start w:val="2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2" w15:restartNumberingAfterBreak="0">
    <w:nsid w:val="59AD0A64"/>
    <w:multiLevelType w:val="hybridMultilevel"/>
    <w:tmpl w:val="BB0AF4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E94C2D"/>
    <w:multiLevelType w:val="multilevel"/>
    <w:tmpl w:val="482081E6"/>
    <w:lvl w:ilvl="0">
      <w:start w:val="10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、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abstractNum w:abstractNumId="4" w15:restartNumberingAfterBreak="0">
    <w:nsid w:val="6EB61840"/>
    <w:multiLevelType w:val="multilevel"/>
    <w:tmpl w:val="D278EDAE"/>
    <w:lvl w:ilvl="0">
      <w:start w:val="10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abstractNum w:abstractNumId="5" w15:restartNumberingAfterBreak="0">
    <w:nsid w:val="7D9468D8"/>
    <w:multiLevelType w:val="multilevel"/>
    <w:tmpl w:val="8C38D94C"/>
    <w:lvl w:ilvl="0">
      <w:start w:val="7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D2"/>
    <w:rsid w:val="00347ED2"/>
    <w:rsid w:val="003F79B6"/>
    <w:rsid w:val="00564B43"/>
    <w:rsid w:val="006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29FB5-720B-40E9-A021-4A5148CB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B43"/>
    <w:rPr>
      <w:sz w:val="18"/>
      <w:szCs w:val="18"/>
    </w:rPr>
  </w:style>
  <w:style w:type="paragraph" w:styleId="a5">
    <w:name w:val="List Paragraph"/>
    <w:basedOn w:val="a"/>
    <w:uiPriority w:val="34"/>
    <w:qFormat/>
    <w:rsid w:val="00564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2020-04-10T09:08:00Z</dcterms:created>
  <dcterms:modified xsi:type="dcterms:W3CDTF">2020-04-10T09:15:00Z</dcterms:modified>
</cp:coreProperties>
</file>