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59" w:rsidRPr="00D01FA3" w:rsidRDefault="00CD1959" w:rsidP="00CD1959">
      <w:pPr>
        <w:keepNext/>
        <w:keepLines/>
        <w:widowControl/>
        <w:spacing w:before="480" w:after="200" w:line="360" w:lineRule="auto"/>
        <w:jc w:val="center"/>
        <w:outlineLvl w:val="0"/>
        <w:rPr>
          <w:rFonts w:ascii="Cambria" w:eastAsia="宋体" w:hAnsi="Cambria" w:cs="Times New Roman"/>
          <w:b/>
          <w:bCs/>
          <w:kern w:val="0"/>
          <w:sz w:val="44"/>
          <w:szCs w:val="44"/>
        </w:rPr>
      </w:pPr>
      <w:bookmarkStart w:id="0" w:name="_GoBack"/>
      <w:bookmarkEnd w:id="0"/>
      <w:proofErr w:type="gramStart"/>
      <w:r w:rsidRPr="00D01FA3">
        <w:rPr>
          <w:rFonts w:ascii="Cambria" w:eastAsia="宋体" w:hAnsi="Cambria" w:cs="Times New Roman" w:hint="eastAsia"/>
          <w:b/>
          <w:bCs/>
          <w:kern w:val="0"/>
          <w:sz w:val="44"/>
          <w:szCs w:val="44"/>
        </w:rPr>
        <w:t>绿建专篇</w:t>
      </w:r>
      <w:proofErr w:type="gramEnd"/>
    </w:p>
    <w:p w:rsidR="00CD1959" w:rsidRPr="00D01FA3" w:rsidRDefault="00CD1959" w:rsidP="00CD1959">
      <w:pPr>
        <w:keepNext/>
        <w:keepLines/>
        <w:widowControl/>
        <w:numPr>
          <w:ilvl w:val="0"/>
          <w:numId w:val="3"/>
        </w:numPr>
        <w:spacing w:before="480" w:after="200" w:line="360" w:lineRule="auto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8"/>
          <w:szCs w:val="28"/>
        </w:rPr>
      </w:pPr>
      <w:r w:rsidRPr="00D01FA3">
        <w:rPr>
          <w:rFonts w:ascii="Calibri" w:hAnsi="Calibri" w:cs="Times New Roman" w:hint="eastAsia"/>
          <w:b/>
          <w:bCs/>
          <w:kern w:val="0"/>
          <w:sz w:val="28"/>
          <w:szCs w:val="28"/>
        </w:rPr>
        <w:t>设计依据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政府相关部门对本项目的批文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《绿色建筑评价标准》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50378-2019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《民用建筑绿色设计规范》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229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《绿色建筑评价技术细则》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《民用建筑绿色性能计算标准》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JGJ/T 449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6.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《声环境质量标准》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3096-2008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7.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《民用建筑隔声设计规范》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50118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8.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《建筑采光设计标准》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50033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9.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《民用建筑热工设计规范》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50176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10.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《民用建筑节水设计标准》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50555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《城市污水再生利用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城市杂用水水质标准》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18920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《室外排水设计规范》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50014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《室外给水设计规范》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50013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《建筑给水排水设计规范》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50015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15.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《民用建筑供暖通风与空气调节设计规范》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50736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《智能建筑设计标准》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50314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17.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《民用建筑电气设计规范》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18.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《建筑照明设计标准》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50034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19.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《城市夜景照明设计规范》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163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20.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《建筑幕墙》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21086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《建筑外窗气密、水密、抗风压性能分级及其检测方法》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7106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《建筑门窗玻璃幕墙热工计算规程》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0151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《城市居住区热环境设计标准》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286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《建筑抗震设计规范》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50011</w:t>
      </w:r>
    </w:p>
    <w:p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bCs/>
          <w:color w:val="000000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25.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国家、省、市现行的相关法律、法规、规范性文件</w:t>
      </w:r>
    </w:p>
    <w:p w:rsidR="00CD1959" w:rsidRPr="00D01FA3" w:rsidRDefault="00CD1959" w:rsidP="00CD1959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color w:val="365F91"/>
          <w:kern w:val="0"/>
          <w:sz w:val="24"/>
          <w:szCs w:val="28"/>
        </w:rPr>
      </w:pPr>
      <w:r w:rsidRPr="00D01FA3">
        <w:rPr>
          <w:rFonts w:ascii="Calibri" w:hAnsi="Calibri" w:cs="Times New Roman" w:hint="eastAsia"/>
          <w:b/>
          <w:bCs/>
          <w:kern w:val="0"/>
          <w:sz w:val="24"/>
          <w:szCs w:val="28"/>
        </w:rPr>
        <w:lastRenderedPageBreak/>
        <w:t>二、</w:t>
      </w:r>
      <w:r w:rsidRPr="00D01FA3">
        <w:rPr>
          <w:rFonts w:ascii="Calibri" w:hAnsi="Calibri" w:cs="Times New Roman" w:hint="eastAsia"/>
          <w:b/>
          <w:bCs/>
          <w:kern w:val="0"/>
          <w:sz w:val="28"/>
          <w:szCs w:val="28"/>
        </w:rPr>
        <w:t>工程概况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8"/>
        <w:gridCol w:w="2094"/>
        <w:gridCol w:w="2159"/>
        <w:gridCol w:w="2117"/>
      </w:tblGrid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</w:t>
            </w:r>
            <w:r w:rsidRPr="00D01FA3">
              <w:rPr>
                <w:szCs w:val="21"/>
              </w:rPr>
              <w:t>名称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项目地址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项目类型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4854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住宅</w:t>
            </w:r>
            <w:r w:rsidRPr="00D01FA3"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    </w:t>
            </w:r>
            <w:r w:rsidRPr="00D01FA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370759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公建</w:t>
            </w:r>
            <w:r>
              <w:rPr>
                <w:szCs w:val="21"/>
              </w:rPr>
              <w:t xml:space="preserve">        </w:t>
            </w:r>
            <w:r w:rsidRPr="00D01FA3">
              <w:rPr>
                <w:szCs w:val="21"/>
              </w:rPr>
              <w:t xml:space="preserve">     </w:t>
            </w:r>
            <w:sdt>
              <w:sdtPr>
                <w:rPr>
                  <w:rFonts w:hint="eastAsia"/>
                  <w:szCs w:val="21"/>
                </w:rPr>
                <w:id w:val="1975718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住宅</w:t>
            </w:r>
            <w:r w:rsidRPr="00D01FA3">
              <w:rPr>
                <w:rFonts w:hint="eastAsia"/>
                <w:szCs w:val="21"/>
              </w:rPr>
              <w:t>/</w:t>
            </w:r>
            <w:r w:rsidRPr="00D01FA3">
              <w:rPr>
                <w:rFonts w:hint="eastAsia"/>
                <w:szCs w:val="21"/>
              </w:rPr>
              <w:t>公建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结构类型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用地面积（</w:t>
            </w:r>
            <w:r w:rsidRPr="00D01FA3">
              <w:rPr>
                <w:rFonts w:hint="eastAsia"/>
                <w:szCs w:val="21"/>
              </w:rPr>
              <w:t>m</w:t>
            </w:r>
            <w:r w:rsidRPr="00D01FA3">
              <w:rPr>
                <w:rFonts w:hint="eastAsia"/>
                <w:szCs w:val="21"/>
                <w:vertAlign w:val="superscript"/>
              </w:rPr>
              <w:t>2</w:t>
            </w:r>
            <w:r w:rsidRPr="00D01FA3">
              <w:rPr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总建筑面积（</w:t>
            </w:r>
            <w:r w:rsidRPr="00D01FA3">
              <w:rPr>
                <w:rFonts w:hint="eastAsia"/>
                <w:szCs w:val="21"/>
              </w:rPr>
              <w:t>m</w:t>
            </w:r>
            <w:r w:rsidRPr="00D01FA3">
              <w:rPr>
                <w:rFonts w:hint="eastAsia"/>
                <w:szCs w:val="21"/>
                <w:vertAlign w:val="superscript"/>
              </w:rPr>
              <w:t>2</w:t>
            </w:r>
            <w:r w:rsidRPr="00D01FA3">
              <w:rPr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bCs/>
                <w:szCs w:val="21"/>
              </w:rPr>
              <w:t>地上建筑面（</w:t>
            </w: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  <w:r w:rsidRPr="00D01FA3">
              <w:rPr>
                <w:bCs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bCs/>
                <w:szCs w:val="21"/>
              </w:rPr>
              <w:t>地下建筑面（</w:t>
            </w: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  <w:r w:rsidRPr="00D01FA3">
              <w:rPr>
                <w:bCs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 w:val="restart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可再生能源</w:t>
            </w:r>
          </w:p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应用情况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是否采用可再生能源：</w:t>
            </w:r>
            <w:sdt>
              <w:sdtPr>
                <w:rPr>
                  <w:rFonts w:hint="eastAsia"/>
                  <w:szCs w:val="21"/>
                </w:rPr>
                <w:id w:val="1904717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是；</w:t>
            </w:r>
            <w:sdt>
              <w:sdtPr>
                <w:rPr>
                  <w:rFonts w:hint="eastAsia"/>
                  <w:szCs w:val="21"/>
                </w:rPr>
                <w:id w:val="1166215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否；</w:t>
            </w:r>
          </w:p>
        </w:tc>
      </w:tr>
      <w:tr w:rsidR="00CD1959" w:rsidRPr="00D01FA3" w:rsidTr="0038091C">
        <w:trPr>
          <w:trHeight w:val="860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  <w:lang w:eastAsia="en-US"/>
              </w:rPr>
            </w:pP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40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可再生能源应用类型：</w:t>
            </w:r>
          </w:p>
          <w:p w:rsidR="00CD1959" w:rsidRPr="00D01FA3" w:rsidRDefault="00CD1959" w:rsidP="0038091C">
            <w:pPr>
              <w:widowControl/>
              <w:spacing w:line="40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64734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浅层地能；</w:t>
            </w:r>
            <w:sdt>
              <w:sdtPr>
                <w:rPr>
                  <w:rFonts w:hint="eastAsia"/>
                  <w:szCs w:val="21"/>
                </w:rPr>
                <w:id w:val="249090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太阳能光热；</w:t>
            </w:r>
            <w:sdt>
              <w:sdtPr>
                <w:rPr>
                  <w:rFonts w:hint="eastAsia"/>
                  <w:szCs w:val="21"/>
                </w:rPr>
                <w:id w:val="-1255274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太阳能光电；</w:t>
            </w:r>
            <w:sdt>
              <w:sdtPr>
                <w:rPr>
                  <w:rFonts w:hint="eastAsia"/>
                  <w:szCs w:val="21"/>
                </w:rPr>
                <w:id w:val="1361250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其他：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浅层地能应用面积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光热产生热水量比例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%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光伏发电量比例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%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其他</w:t>
            </w:r>
            <w:r w:rsidRPr="00D01FA3">
              <w:rPr>
                <w:bCs/>
                <w:szCs w:val="21"/>
              </w:rPr>
              <w:t>：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 w:val="restart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装配式建筑</w:t>
            </w:r>
          </w:p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应用情况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是否装配式建筑：</w:t>
            </w:r>
            <w:sdt>
              <w:sdtPr>
                <w:rPr>
                  <w:rFonts w:hint="eastAsia"/>
                  <w:szCs w:val="21"/>
                </w:rPr>
                <w:id w:val="565149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是；</w:t>
            </w:r>
            <w:sdt>
              <w:sdtPr>
                <w:rPr>
                  <w:rFonts w:hint="eastAsia"/>
                  <w:szCs w:val="21"/>
                </w:rPr>
                <w:id w:val="-842549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否；</w:t>
            </w:r>
          </w:p>
        </w:tc>
      </w:tr>
      <w:tr w:rsidR="00CD1959" w:rsidRPr="00D01FA3" w:rsidTr="0038091C">
        <w:trPr>
          <w:trHeight w:val="1144"/>
        </w:trPr>
        <w:tc>
          <w:tcPr>
            <w:tcW w:w="2310" w:type="dxa"/>
            <w:vMerge/>
            <w:tcBorders>
              <w:bottom w:val="single" w:sz="4" w:space="0" w:color="000000"/>
            </w:tcBorders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933" w:type="dxa"/>
            <w:gridSpan w:val="3"/>
            <w:tcBorders>
              <w:bottom w:val="single" w:sz="4" w:space="0" w:color="000000"/>
            </w:tcBorders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装配式建筑类型：</w:t>
            </w:r>
          </w:p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893505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装配式混凝土结构；</w:t>
            </w:r>
            <w:r w:rsidRPr="00D01FA3">
              <w:rPr>
                <w:rFonts w:hint="eastAsia"/>
                <w:bCs/>
                <w:szCs w:val="21"/>
              </w:rPr>
              <w:t xml:space="preserve">        </w:t>
            </w:r>
            <w:r w:rsidRPr="00D01FA3">
              <w:rPr>
                <w:bCs/>
                <w:szCs w:val="21"/>
              </w:rPr>
              <w:t xml:space="preserve">   </w:t>
            </w:r>
            <w:sdt>
              <w:sdtPr>
                <w:rPr>
                  <w:rFonts w:hint="eastAsia"/>
                  <w:szCs w:val="21"/>
                </w:rPr>
                <w:id w:val="-1177418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装配式钢结构；</w:t>
            </w:r>
          </w:p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92033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装配式木结构；</w:t>
            </w:r>
            <w:r w:rsidRPr="00D01FA3">
              <w:rPr>
                <w:rFonts w:hint="eastAsia"/>
                <w:bCs/>
                <w:szCs w:val="21"/>
              </w:rPr>
              <w:t xml:space="preserve">             </w:t>
            </w:r>
            <w:r w:rsidRPr="00D01FA3">
              <w:rPr>
                <w:bCs/>
                <w:szCs w:val="21"/>
              </w:rPr>
              <w:t xml:space="preserve">      </w:t>
            </w:r>
            <w:sdt>
              <w:sdtPr>
                <w:rPr>
                  <w:rFonts w:hint="eastAsia"/>
                  <w:szCs w:val="21"/>
                </w:rPr>
                <w:id w:val="1031083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其他：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Merge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预制构件用量比例</w:t>
            </w:r>
          </w:p>
        </w:tc>
        <w:tc>
          <w:tcPr>
            <w:tcW w:w="2311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%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BIM</w:t>
            </w:r>
            <w:r w:rsidRPr="00D01FA3">
              <w:rPr>
                <w:rFonts w:hint="eastAsia"/>
                <w:bCs/>
                <w:szCs w:val="21"/>
              </w:rPr>
              <w:t>设计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80397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是</w:t>
            </w:r>
            <w:r w:rsidRPr="00D01FA3">
              <w:rPr>
                <w:rFonts w:hint="eastAsia"/>
                <w:bCs/>
                <w:szCs w:val="21"/>
              </w:rPr>
              <w:t xml:space="preserve">  </w:t>
            </w:r>
            <w:r w:rsidRPr="00D01FA3">
              <w:rPr>
                <w:bCs/>
                <w:szCs w:val="21"/>
              </w:rPr>
              <w:t xml:space="preserve">                </w:t>
            </w:r>
            <w:sdt>
              <w:sdtPr>
                <w:rPr>
                  <w:rFonts w:hint="eastAsia"/>
                  <w:szCs w:val="21"/>
                </w:rPr>
                <w:id w:val="684783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proofErr w:type="gramStart"/>
            <w:r w:rsidRPr="00D01FA3">
              <w:rPr>
                <w:rFonts w:hint="eastAsia"/>
                <w:bCs/>
                <w:szCs w:val="21"/>
              </w:rPr>
              <w:t>否</w:t>
            </w:r>
            <w:proofErr w:type="gramEnd"/>
            <w:r w:rsidRPr="00D01FA3">
              <w:rPr>
                <w:rFonts w:hint="eastAsia"/>
                <w:bCs/>
                <w:szCs w:val="21"/>
              </w:rPr>
              <w:t xml:space="preserve">   </w:t>
            </w:r>
          </w:p>
        </w:tc>
      </w:tr>
      <w:tr w:rsidR="00CD1959" w:rsidRPr="00D01FA3" w:rsidTr="0038091C">
        <w:trPr>
          <w:trHeight w:val="567"/>
        </w:trPr>
        <w:tc>
          <w:tcPr>
            <w:tcW w:w="2310" w:type="dxa"/>
            <w:vAlign w:val="center"/>
          </w:tcPr>
          <w:p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绿色建筑等级</w:t>
            </w:r>
          </w:p>
        </w:tc>
        <w:tc>
          <w:tcPr>
            <w:tcW w:w="6933" w:type="dxa"/>
            <w:gridSpan w:val="3"/>
            <w:vAlign w:val="center"/>
          </w:tcPr>
          <w:p w:rsidR="00CD1959" w:rsidRPr="00D01FA3" w:rsidRDefault="00CD1959" w:rsidP="00CD1959">
            <w:pPr>
              <w:widowControl/>
              <w:spacing w:line="240" w:lineRule="exact"/>
              <w:ind w:firstLineChars="100" w:firstLine="200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sym w:font="Wingdings 2" w:char="F052"/>
            </w:r>
            <w:r w:rsidRPr="00D01FA3">
              <w:rPr>
                <w:rFonts w:hint="eastAsia"/>
                <w:bCs/>
                <w:szCs w:val="21"/>
              </w:rPr>
              <w:t>基本级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 w:rsidRPr="00D01FA3">
              <w:rPr>
                <w:rFonts w:hint="eastAsia"/>
                <w:bCs/>
                <w:szCs w:val="21"/>
              </w:rPr>
              <w:t xml:space="preserve"> </w:t>
            </w:r>
            <w:r w:rsidRPr="00D01FA3">
              <w:rPr>
                <w:rFonts w:hint="eastAsia"/>
                <w:bCs/>
                <w:szCs w:val="21"/>
              </w:rPr>
              <w:t>□</w:t>
            </w:r>
            <w:proofErr w:type="gramStart"/>
            <w:r w:rsidRPr="00D01FA3">
              <w:rPr>
                <w:rFonts w:hint="eastAsia"/>
                <w:bCs/>
                <w:szCs w:val="21"/>
              </w:rPr>
              <w:t>一</w:t>
            </w:r>
            <w:proofErr w:type="gramEnd"/>
            <w:r w:rsidRPr="00D01FA3">
              <w:rPr>
                <w:rFonts w:hint="eastAsia"/>
                <w:bCs/>
                <w:szCs w:val="21"/>
              </w:rPr>
              <w:t>星级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 w:rsidRPr="00D01FA3">
              <w:rPr>
                <w:rFonts w:hint="eastAsia"/>
                <w:bCs/>
                <w:szCs w:val="21"/>
              </w:rPr>
              <w:t xml:space="preserve"> </w:t>
            </w:r>
            <w:r w:rsidRPr="00D01FA3">
              <w:rPr>
                <w:rFonts w:hint="eastAsia"/>
                <w:bCs/>
                <w:szCs w:val="21"/>
              </w:rPr>
              <w:t>□二星级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 w:rsidRPr="00D01FA3">
              <w:rPr>
                <w:rFonts w:hint="eastAsia"/>
                <w:bCs/>
                <w:szCs w:val="21"/>
              </w:rPr>
              <w:t xml:space="preserve">    </w:t>
            </w:r>
            <w:r w:rsidRPr="00D01FA3">
              <w:rPr>
                <w:rFonts w:hint="eastAsia"/>
                <w:bCs/>
                <w:szCs w:val="21"/>
              </w:rPr>
              <w:t>□三星级</w:t>
            </w:r>
          </w:p>
        </w:tc>
      </w:tr>
    </w:tbl>
    <w:p w:rsidR="003B6C85" w:rsidRPr="00CD1959" w:rsidRDefault="00CD1959" w:rsidP="00CD1959">
      <w:pPr>
        <w:widowControl/>
        <w:spacing w:after="200" w:line="360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/>
          <w:kern w:val="0"/>
          <w:sz w:val="24"/>
        </w:rPr>
        <w:br w:type="page"/>
      </w:r>
      <w:r w:rsidR="003B6C85" w:rsidRPr="003B6C85">
        <w:rPr>
          <w:rFonts w:ascii="Calibri" w:hAnsi="Calibri" w:cs="Times New Roman" w:hint="eastAsia"/>
          <w:b/>
          <w:bCs/>
          <w:kern w:val="0"/>
          <w:sz w:val="24"/>
          <w:szCs w:val="28"/>
        </w:rPr>
        <w:lastRenderedPageBreak/>
        <w:t>三、</w:t>
      </w:r>
      <w:r w:rsidR="003B6C85" w:rsidRPr="003B6C85">
        <w:rPr>
          <w:rFonts w:ascii="Calibri" w:hAnsi="Calibri" w:cs="Times New Roman" w:hint="eastAsia"/>
          <w:b/>
          <w:bCs/>
          <w:kern w:val="0"/>
          <w:sz w:val="28"/>
          <w:szCs w:val="28"/>
        </w:rPr>
        <w:t>基本级设计内容</w:t>
      </w:r>
      <w:r w:rsidR="003B6C85" w:rsidRPr="003B6C85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="003B6C85" w:rsidRPr="003B6C85">
        <w:rPr>
          <w:rFonts w:ascii="Calibri" w:hAnsi="Calibri" w:cs="Times New Roman" w:hint="eastAsia"/>
          <w:b/>
          <w:bCs/>
          <w:kern w:val="0"/>
          <w:sz w:val="28"/>
          <w:szCs w:val="28"/>
        </w:rPr>
        <w:t>规划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before="200" w:after="200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/>
          <w:sz w:val="24"/>
          <w:szCs w:val="24"/>
        </w:rPr>
        <w:t>场地</w:t>
      </w:r>
      <w:r w:rsidRPr="003B6C85">
        <w:rPr>
          <w:rFonts w:ascii="Calibri" w:hAnsi="Calibri" w:cs="Times New Roman" w:hint="eastAsia"/>
          <w:sz w:val="24"/>
          <w:szCs w:val="24"/>
        </w:rPr>
        <w:t>应</w:t>
      </w:r>
      <w:r w:rsidRPr="003B6C85">
        <w:rPr>
          <w:rFonts w:ascii="Calibri" w:hAnsi="Calibri" w:cs="Times New Roman"/>
          <w:sz w:val="24"/>
          <w:szCs w:val="24"/>
        </w:rPr>
        <w:t>避开滑坡、泥石流等地质危险地段，易发生洪涝地区</w:t>
      </w:r>
      <w:r w:rsidRPr="003B6C85">
        <w:rPr>
          <w:rFonts w:ascii="Calibri" w:hAnsi="Calibri" w:cs="Times New Roman" w:hint="eastAsia"/>
          <w:sz w:val="24"/>
          <w:szCs w:val="24"/>
        </w:rPr>
        <w:t>应</w:t>
      </w:r>
      <w:r w:rsidRPr="003B6C85">
        <w:rPr>
          <w:rFonts w:ascii="Calibri" w:hAnsi="Calibri" w:cs="Times New Roman"/>
          <w:sz w:val="24"/>
          <w:szCs w:val="24"/>
        </w:rPr>
        <w:t>有可靠的防洪涝基础设施；场地无危险化学品、易燃易爆危险源的威胁，无电磁辐射、含氡土壤的危害。</w:t>
      </w:r>
    </w:p>
    <w:p w:rsidR="003B6C85" w:rsidRPr="003B6C85" w:rsidRDefault="003B6C85" w:rsidP="003B6C85">
      <w:pPr>
        <w:widowControl/>
        <w:ind w:firstLine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（</w:t>
      </w:r>
      <w:r w:rsidRPr="003B6C85">
        <w:rPr>
          <w:rFonts w:ascii="Calibri" w:hAnsi="Calibri" w:cs="Times New Roman" w:hint="eastAsia"/>
          <w:kern w:val="0"/>
          <w:sz w:val="24"/>
        </w:rPr>
        <w:t>1</w:t>
      </w:r>
      <w:r w:rsidRPr="003B6C85">
        <w:rPr>
          <w:rFonts w:ascii="Calibri" w:hAnsi="Calibri" w:cs="Times New Roman" w:hint="eastAsia"/>
          <w:kern w:val="0"/>
          <w:sz w:val="24"/>
        </w:rPr>
        <w:t>）场地选址附近是否有以下威胁或者危险源：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63598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洪灾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014354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泥石流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837098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风切变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793825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抗震不利地段（如地震断裂带、易液化土、人工填土等）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252812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火、爆、有毒物质等（如油库、煤气站、有毒物质车间等）</w:t>
      </w:r>
    </w:p>
    <w:p w:rsidR="003B6C85" w:rsidRPr="003B6C85" w:rsidRDefault="006F384C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211547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以上皆无</w:t>
      </w:r>
    </w:p>
    <w:p w:rsidR="003B6C85" w:rsidRPr="003B6C85" w:rsidRDefault="003B6C85" w:rsidP="003B6C85">
      <w:pPr>
        <w:widowControl/>
        <w:numPr>
          <w:ilvl w:val="0"/>
          <w:numId w:val="2"/>
        </w:numPr>
        <w:spacing w:after="20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土壤中的氡浓度符合现行国家标准《民用建筑工程室内环境污染控制规范》</w:t>
      </w:r>
      <w:r w:rsidRPr="003B6C85">
        <w:rPr>
          <w:rFonts w:ascii="Calibri" w:hAnsi="Calibri" w:cs="Times New Roman" w:hint="eastAsia"/>
          <w:kern w:val="0"/>
          <w:sz w:val="24"/>
        </w:rPr>
        <w:t>GB 50325</w:t>
      </w:r>
      <w:r w:rsidRPr="003B6C85">
        <w:rPr>
          <w:rFonts w:ascii="Calibri" w:hAnsi="Calibri" w:cs="Times New Roman" w:hint="eastAsia"/>
          <w:kern w:val="0"/>
          <w:sz w:val="24"/>
        </w:rPr>
        <w:t>的规定，详见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>《土壤氡浓度检测报告》</w:t>
      </w:r>
      <w:r w:rsidRPr="003B6C85">
        <w:rPr>
          <w:rFonts w:ascii="Calibri" w:hAnsi="Calibri" w:cs="Times New Roman" w:hint="eastAsia"/>
          <w:kern w:val="0"/>
          <w:sz w:val="24"/>
        </w:rPr>
        <w:t>；简述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防氡措施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为：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；</w:t>
      </w:r>
    </w:p>
    <w:p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（</w:t>
      </w:r>
      <w:r w:rsidRPr="003B6C85">
        <w:rPr>
          <w:rFonts w:ascii="Calibri" w:hAnsi="Calibri" w:cs="Times New Roman" w:hint="eastAsia"/>
          <w:kern w:val="0"/>
          <w:sz w:val="24"/>
        </w:rPr>
        <w:t>3</w:t>
      </w:r>
      <w:r w:rsidRPr="003B6C85">
        <w:rPr>
          <w:rFonts w:ascii="Calibri" w:hAnsi="Calibri" w:cs="Times New Roman" w:hint="eastAsia"/>
          <w:kern w:val="0"/>
          <w:sz w:val="24"/>
        </w:rPr>
        <w:t>）电磁辐射符合现行国家标准《电磁辐射防护规定》</w:t>
      </w:r>
      <w:r w:rsidRPr="003B6C85">
        <w:rPr>
          <w:rFonts w:ascii="Calibri" w:hAnsi="Calibri" w:cs="Times New Roman" w:hint="eastAsia"/>
          <w:kern w:val="0"/>
          <w:sz w:val="24"/>
        </w:rPr>
        <w:t>GB 8702</w:t>
      </w:r>
      <w:r w:rsidRPr="003B6C85">
        <w:rPr>
          <w:rFonts w:ascii="Calibri" w:hAnsi="Calibri" w:cs="Times New Roman" w:hint="eastAsia"/>
          <w:kern w:val="0"/>
          <w:sz w:val="24"/>
        </w:rPr>
        <w:t>的规定。</w:t>
      </w:r>
    </w:p>
    <w:p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电磁辐射源：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470040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电视广播发射塔、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160021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雷达站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609550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通信发射台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61363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变电站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82853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高压电线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70508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 xml:space="preserve">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，</w:t>
      </w:r>
      <w:r w:rsidR="003B6C85" w:rsidRPr="003B6C85">
        <w:rPr>
          <w:rFonts w:ascii="Calibri" w:hAnsi="Calibri" w:cs="Times New Roman" w:hint="eastAsia"/>
          <w:kern w:val="0"/>
          <w:sz w:val="24"/>
        </w:rPr>
        <w:t>详见</w:t>
      </w:r>
      <w:r w:rsidR="003B6C85" w:rsidRPr="003B6C85">
        <w:rPr>
          <w:rFonts w:ascii="Calibri" w:hAnsi="Calibri" w:cs="Times New Roman" w:hint="eastAsia"/>
          <w:kern w:val="0"/>
          <w:sz w:val="24"/>
          <w:u w:val="single"/>
        </w:rPr>
        <w:t>《电磁辐射监测报告》</w:t>
      </w:r>
      <w:r w:rsidR="003B6C85" w:rsidRPr="003B6C85">
        <w:rPr>
          <w:rFonts w:ascii="Calibri" w:hAnsi="Calibri" w:cs="Times New Roman" w:hint="eastAsia"/>
          <w:kern w:val="0"/>
          <w:sz w:val="24"/>
        </w:rPr>
        <w:t>；</w:t>
      </w:r>
    </w:p>
    <w:p w:rsidR="003B6C85" w:rsidRPr="003B6C85" w:rsidRDefault="003B6C85" w:rsidP="003B6C85">
      <w:pPr>
        <w:widowControl/>
        <w:spacing w:line="288" w:lineRule="auto"/>
        <w:ind w:left="142" w:firstLine="278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简要说明避免以上威胁或危险源的措施：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；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before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建筑、室外场地、公共绿地、城市道路相互之间设置连贯的无障碍步行系统。</w:t>
      </w:r>
    </w:p>
    <w:p w:rsidR="003B6C85" w:rsidRPr="003B6C85" w:rsidRDefault="003B6C85" w:rsidP="003B6C85">
      <w:pPr>
        <w:spacing w:after="200" w:line="288" w:lineRule="auto"/>
        <w:ind w:left="147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详见图纸：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B6C85">
        <w:rPr>
          <w:rFonts w:ascii="Calibri" w:hAnsi="Calibri" w:cs="Times New Roman" w:hint="eastAsia"/>
          <w:sz w:val="24"/>
          <w:szCs w:val="24"/>
        </w:rPr>
        <w:t>。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after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场地人行出入口</w:t>
      </w:r>
      <w:r w:rsidRPr="003B6C85">
        <w:rPr>
          <w:rFonts w:ascii="Calibri" w:hAnsi="Calibri" w:cs="Times New Roman" w:hint="eastAsia"/>
          <w:sz w:val="24"/>
          <w:szCs w:val="24"/>
        </w:rPr>
        <w:t>500m</w:t>
      </w:r>
      <w:r w:rsidRPr="003B6C85">
        <w:rPr>
          <w:rFonts w:ascii="Calibri" w:hAnsi="Calibri" w:cs="Times New Roman" w:hint="eastAsia"/>
          <w:sz w:val="24"/>
          <w:szCs w:val="24"/>
        </w:rPr>
        <w:t>内设有公共交通站点或配备联系公共交通站点的专用接驳车；详见：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B6C85">
        <w:rPr>
          <w:rFonts w:ascii="Calibri" w:hAnsi="Calibri" w:cs="Times New Roman" w:hint="eastAsia"/>
          <w:sz w:val="24"/>
          <w:szCs w:val="24"/>
        </w:rPr>
        <w:t>。（公交站点分析报告）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合理设置电动汽车和无障碍汽车停车位且符合规划指标要求。</w:t>
      </w:r>
    </w:p>
    <w:p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停车方式节约集约用地：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03200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机械式停车库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515685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地下停车库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45299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立体停车楼（库）</w:t>
      </w:r>
    </w:p>
    <w:p w:rsidR="003B6C85" w:rsidRPr="003B6C85" w:rsidRDefault="006F384C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499160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其他方式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3B6C85" w:rsidRPr="003B6C85" w:rsidRDefault="003B6C85" w:rsidP="003B6C85">
      <w:pPr>
        <w:spacing w:line="288" w:lineRule="auto"/>
        <w:ind w:firstLine="142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采用错时停车方式向社会开放：</w:t>
      </w:r>
      <w:sdt>
        <w:sdtPr>
          <w:rPr>
            <w:rFonts w:ascii="Calibri" w:hAnsi="Calibri" w:cs="Times New Roman" w:hint="eastAsia"/>
            <w:sz w:val="24"/>
            <w:szCs w:val="21"/>
          </w:rPr>
          <w:id w:val="-8509515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是、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7271019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否（原因：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                    </w:t>
      </w:r>
      <w:r w:rsidRPr="003B6C85">
        <w:rPr>
          <w:rFonts w:ascii="Calibri" w:hAnsi="Calibri" w:cs="Times New Roman" w:hint="eastAsia"/>
          <w:sz w:val="24"/>
          <w:szCs w:val="24"/>
        </w:rPr>
        <w:t>）。</w:t>
      </w:r>
    </w:p>
    <w:p w:rsidR="003B6C85" w:rsidRPr="003B6C85" w:rsidRDefault="003B6C85" w:rsidP="003B6C85">
      <w:pPr>
        <w:widowControl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地面停车设计合理，不挤占步行空间及活动场所：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3138890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6991466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proofErr w:type="gramStart"/>
      <w:r w:rsidRPr="003B6C85">
        <w:rPr>
          <w:rFonts w:ascii="Calibri" w:hAnsi="Calibri" w:cs="Times New Roman" w:hint="eastAsia"/>
          <w:kern w:val="0"/>
          <w:sz w:val="24"/>
        </w:rPr>
        <w:t>否</w:t>
      </w:r>
      <w:proofErr w:type="gramEnd"/>
    </w:p>
    <w:p w:rsidR="003B6C85" w:rsidRPr="003B6C85" w:rsidRDefault="003B6C85" w:rsidP="003B6C85">
      <w:pPr>
        <w:widowControl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lastRenderedPageBreak/>
        <w:t>规划要求机动车停车位数量：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，设计机动车停车位数量：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，其中电动汽车停车位数量：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，无障碍汽车停车位数量：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。</w:t>
      </w:r>
    </w:p>
    <w:p w:rsidR="003B6C85" w:rsidRPr="003B6C85" w:rsidRDefault="003B6C85" w:rsidP="003B6C85">
      <w:pPr>
        <w:widowControl/>
        <w:spacing w:after="200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详见图纸：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，且符合规划要求。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kern w:val="0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自行车停车场</w:t>
      </w:r>
      <w:proofErr w:type="gramStart"/>
      <w:r w:rsidRPr="003B6C85">
        <w:rPr>
          <w:rFonts w:ascii="Calibri" w:hAnsi="Calibri" w:cs="Times New Roman" w:hint="eastAsia"/>
          <w:sz w:val="24"/>
          <w:szCs w:val="24"/>
        </w:rPr>
        <w:t>所位置</w:t>
      </w:r>
      <w:proofErr w:type="gramEnd"/>
      <w:r w:rsidRPr="003B6C85">
        <w:rPr>
          <w:rFonts w:ascii="Calibri" w:hAnsi="Calibri" w:cs="Times New Roman" w:hint="eastAsia"/>
          <w:sz w:val="24"/>
          <w:szCs w:val="24"/>
        </w:rPr>
        <w:t>合理、方便出入。</w:t>
      </w:r>
    </w:p>
    <w:p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规划要求自行车停车位数量：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，设计自行车停车位数量：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。</w:t>
      </w:r>
    </w:p>
    <w:p w:rsidR="003B6C85" w:rsidRPr="003B6C85" w:rsidRDefault="003B6C85" w:rsidP="003B6C85">
      <w:pPr>
        <w:widowControl/>
        <w:spacing w:after="200"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自行车位及自行车库</w:t>
      </w:r>
      <w:r w:rsidRPr="003B6C85">
        <w:rPr>
          <w:rFonts w:ascii="Calibri" w:hAnsi="Calibri" w:cs="Times New Roman" w:hint="eastAsia"/>
          <w:kern w:val="0"/>
          <w:sz w:val="24"/>
        </w:rPr>
        <w:t>/</w:t>
      </w:r>
      <w:r w:rsidRPr="003B6C85">
        <w:rPr>
          <w:rFonts w:ascii="Calibri" w:hAnsi="Calibri" w:cs="Times New Roman" w:hint="eastAsia"/>
          <w:kern w:val="0"/>
          <w:sz w:val="24"/>
        </w:rPr>
        <w:t>车棚设计详见图纸：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。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建筑规划布局满足日照标准，且不得降低周边建筑的日照标准。</w:t>
      </w:r>
    </w:p>
    <w:p w:rsidR="003B6C85" w:rsidRPr="003B6C85" w:rsidRDefault="006F384C" w:rsidP="003B6C85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7277268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sz w:val="24"/>
          <w:szCs w:val="24"/>
        </w:rPr>
        <w:t>满足、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2653407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sz w:val="24"/>
          <w:szCs w:val="24"/>
        </w:rPr>
        <w:t>不降低已有建筑日照标准。详见</w:t>
      </w:r>
      <w:r w:rsidR="003B6C85" w:rsidRPr="003B6C85">
        <w:rPr>
          <w:rFonts w:ascii="Calibri" w:hAnsi="Calibri" w:cs="Times New Roman" w:hint="eastAsia"/>
          <w:sz w:val="24"/>
          <w:szCs w:val="24"/>
          <w:u w:val="single"/>
        </w:rPr>
        <w:t>建筑日照模拟分析图和《日照分析报告》</w:t>
      </w:r>
      <w:r w:rsidR="003B6C85" w:rsidRPr="003B6C85">
        <w:rPr>
          <w:rFonts w:ascii="Calibri" w:hAnsi="Calibri" w:cs="Times New Roman" w:hint="eastAsia"/>
          <w:sz w:val="24"/>
          <w:szCs w:val="24"/>
        </w:rPr>
        <w:t>。</w:t>
      </w:r>
    </w:p>
    <w:p w:rsidR="003B6C85" w:rsidRPr="003B6C85" w:rsidRDefault="003B6C85" w:rsidP="003B6C85">
      <w:pPr>
        <w:widowControl/>
        <w:numPr>
          <w:ilvl w:val="0"/>
          <w:numId w:val="1"/>
        </w:numPr>
        <w:spacing w:before="200" w:after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配建的绿地符合所在地城乡规划的要求，合理选择绿化方式，植物种植适应当地气候和土壤，且无毒、易维护，种植区域覆土深度（地下室种植顶板：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</w:t>
      </w:r>
      <w:r w:rsidRPr="003B6C85">
        <w:rPr>
          <w:rFonts w:ascii="Calibri" w:hAnsi="Calibri" w:cs="Times New Roman" w:hint="eastAsia"/>
          <w:sz w:val="24"/>
          <w:szCs w:val="24"/>
        </w:rPr>
        <w:t>；种植屋顶：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</w:t>
      </w:r>
      <w:r w:rsidRPr="003B6C85">
        <w:rPr>
          <w:rFonts w:ascii="Calibri" w:hAnsi="Calibri" w:cs="Times New Roman" w:hint="eastAsia"/>
          <w:sz w:val="24"/>
          <w:szCs w:val="24"/>
        </w:rPr>
        <w:t>）和排水能力满足植物生长需求，并采用复层绿化方式：</w:t>
      </w:r>
      <w:sdt>
        <w:sdtPr>
          <w:rPr>
            <w:rFonts w:ascii="Calibri" w:hAnsi="Calibri" w:cs="Times New Roman" w:hint="eastAsia"/>
            <w:sz w:val="24"/>
            <w:szCs w:val="21"/>
          </w:rPr>
          <w:id w:val="-988097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是、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7331927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否。详见图纸：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        </w:t>
      </w:r>
      <w:r w:rsidRPr="003B6C85">
        <w:rPr>
          <w:rFonts w:ascii="Calibri" w:hAnsi="Calibri" w:cs="Times New Roman" w:hint="eastAsia"/>
          <w:sz w:val="24"/>
          <w:szCs w:val="24"/>
        </w:rPr>
        <w:t>（景观设计图、总平面设计图、给排水设计图）。</w:t>
      </w:r>
    </w:p>
    <w:p w:rsidR="003F79B6" w:rsidRPr="003B6C85" w:rsidRDefault="003F79B6"/>
    <w:sectPr w:rsidR="003F79B6" w:rsidRPr="003B6C85" w:rsidSect="003B6C85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4C" w:rsidRDefault="006F384C" w:rsidP="003B6C85">
      <w:r>
        <w:separator/>
      </w:r>
    </w:p>
  </w:endnote>
  <w:endnote w:type="continuationSeparator" w:id="0">
    <w:p w:rsidR="006F384C" w:rsidRDefault="006F384C" w:rsidP="003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4C" w:rsidRDefault="006F384C" w:rsidP="003B6C85">
      <w:r>
        <w:separator/>
      </w:r>
    </w:p>
  </w:footnote>
  <w:footnote w:type="continuationSeparator" w:id="0">
    <w:p w:rsidR="006F384C" w:rsidRDefault="006F384C" w:rsidP="003B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7CD270"/>
    <w:multiLevelType w:val="singleLevel"/>
    <w:tmpl w:val="A87CD270"/>
    <w:lvl w:ilvl="0">
      <w:start w:val="2"/>
      <w:numFmt w:val="decimal"/>
      <w:suff w:val="nothing"/>
      <w:lvlText w:val="（%1）"/>
      <w:lvlJc w:val="left"/>
    </w:lvl>
  </w:abstractNum>
  <w:abstractNum w:abstractNumId="1">
    <w:nsid w:val="07AD2CB0"/>
    <w:multiLevelType w:val="multilevel"/>
    <w:tmpl w:val="07AD2CB0"/>
    <w:lvl w:ilvl="0">
      <w:start w:val="1"/>
      <w:numFmt w:val="decimal"/>
      <w:suff w:val="nothing"/>
      <w:lvlText w:val="%1、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abstractNum w:abstractNumId="2">
    <w:nsid w:val="475137F0"/>
    <w:multiLevelType w:val="hybridMultilevel"/>
    <w:tmpl w:val="7F14ADA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A7"/>
    <w:rsid w:val="003B6C85"/>
    <w:rsid w:val="003F79B6"/>
    <w:rsid w:val="006F384C"/>
    <w:rsid w:val="00BE75A7"/>
    <w:rsid w:val="00CD1959"/>
    <w:rsid w:val="00F5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C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C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1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1959"/>
    <w:rPr>
      <w:sz w:val="18"/>
      <w:szCs w:val="18"/>
    </w:rPr>
  </w:style>
  <w:style w:type="table" w:styleId="a6">
    <w:name w:val="Table Grid"/>
    <w:basedOn w:val="a1"/>
    <w:uiPriority w:val="59"/>
    <w:qFormat/>
    <w:rsid w:val="00CD195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C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C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1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1959"/>
    <w:rPr>
      <w:sz w:val="18"/>
      <w:szCs w:val="18"/>
    </w:rPr>
  </w:style>
  <w:style w:type="table" w:styleId="a6">
    <w:name w:val="Table Grid"/>
    <w:basedOn w:val="a1"/>
    <w:uiPriority w:val="59"/>
    <w:qFormat/>
    <w:rsid w:val="00CD195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3</cp:revision>
  <dcterms:created xsi:type="dcterms:W3CDTF">2020-04-10T08:59:00Z</dcterms:created>
  <dcterms:modified xsi:type="dcterms:W3CDTF">2020-04-16T07:07:00Z</dcterms:modified>
</cp:coreProperties>
</file>