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99" w:rsidRDefault="004E5799">
      <w:pPr>
        <w:spacing w:line="360" w:lineRule="auto"/>
        <w:jc w:val="center"/>
        <w:rPr>
          <w:rFonts w:eastAsia="黑体"/>
          <w:sz w:val="48"/>
          <w:szCs w:val="52"/>
        </w:rPr>
      </w:pPr>
    </w:p>
    <w:p w:rsidR="004E5799" w:rsidRDefault="004E5799">
      <w:pPr>
        <w:spacing w:line="360" w:lineRule="auto"/>
        <w:jc w:val="center"/>
        <w:rPr>
          <w:rFonts w:eastAsia="黑体"/>
          <w:sz w:val="48"/>
          <w:szCs w:val="52"/>
        </w:rPr>
      </w:pPr>
    </w:p>
    <w:p w:rsidR="00E011E1" w:rsidRPr="00E011E1" w:rsidRDefault="00E011E1" w:rsidP="00E011E1">
      <w:pPr>
        <w:pStyle w:val="a0"/>
      </w:pPr>
    </w:p>
    <w:p w:rsidR="004E5799" w:rsidRDefault="00E011E1">
      <w:pPr>
        <w:spacing w:line="360" w:lineRule="auto"/>
        <w:jc w:val="center"/>
        <w:rPr>
          <w:rFonts w:eastAsia="黑体"/>
          <w:sz w:val="48"/>
          <w:szCs w:val="52"/>
        </w:rPr>
      </w:pPr>
      <w:r>
        <w:rPr>
          <w:rFonts w:eastAsia="黑体" w:hint="eastAsia"/>
          <w:sz w:val="48"/>
          <w:szCs w:val="52"/>
        </w:rPr>
        <w:t>装饰性构件成本计算书</w:t>
      </w:r>
    </w:p>
    <w:p w:rsidR="004E5799" w:rsidRDefault="004E5799">
      <w:pPr>
        <w:rPr>
          <w:b/>
          <w:bCs/>
          <w:sz w:val="24"/>
          <w:lang w:val="zh-CN"/>
        </w:rPr>
      </w:pPr>
    </w:p>
    <w:p w:rsidR="004E5799" w:rsidRDefault="004E5799">
      <w:pPr>
        <w:jc w:val="center"/>
        <w:rPr>
          <w:rFonts w:eastAsia="黑体"/>
          <w:b/>
          <w:sz w:val="24"/>
        </w:rPr>
      </w:pPr>
    </w:p>
    <w:p w:rsidR="004E5799" w:rsidRDefault="004E5799">
      <w:pPr>
        <w:jc w:val="center"/>
        <w:rPr>
          <w:rFonts w:eastAsia="黑体"/>
          <w:b/>
          <w:sz w:val="24"/>
        </w:rPr>
      </w:pPr>
    </w:p>
    <w:p w:rsidR="004E5799" w:rsidRDefault="004E5799">
      <w:pPr>
        <w:jc w:val="center"/>
        <w:rPr>
          <w:rFonts w:eastAsia="黑体"/>
          <w:b/>
          <w:sz w:val="24"/>
        </w:rPr>
      </w:pPr>
    </w:p>
    <w:p w:rsidR="004E5799" w:rsidRDefault="004E5799">
      <w:pPr>
        <w:jc w:val="center"/>
        <w:rPr>
          <w:rFonts w:eastAsia="黑体"/>
          <w:b/>
          <w:sz w:val="24"/>
        </w:rPr>
      </w:pPr>
    </w:p>
    <w:p w:rsidR="004E5799" w:rsidRDefault="004E5799">
      <w:pPr>
        <w:rPr>
          <w:b/>
          <w:bCs/>
        </w:rPr>
      </w:pPr>
    </w:p>
    <w:tbl>
      <w:tblPr>
        <w:tblW w:w="4483" w:type="pct"/>
        <w:jc w:val="center"/>
        <w:tblLook w:val="04A0" w:firstRow="1" w:lastRow="0" w:firstColumn="1" w:lastColumn="0" w:noHBand="0" w:noVBand="1"/>
      </w:tblPr>
      <w:tblGrid>
        <w:gridCol w:w="2036"/>
        <w:gridCol w:w="5605"/>
      </w:tblGrid>
      <w:tr w:rsidR="004E5799">
        <w:trPr>
          <w:trHeight w:val="898"/>
          <w:jc w:val="center"/>
        </w:trPr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项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目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名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称：</w:t>
            </w:r>
          </w:p>
        </w:tc>
        <w:tc>
          <w:tcPr>
            <w:tcW w:w="5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4E5799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</w:p>
        </w:tc>
      </w:tr>
      <w:tr w:rsidR="004E5799">
        <w:trPr>
          <w:trHeight w:val="898"/>
          <w:jc w:val="center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建</w:t>
            </w:r>
            <w:r>
              <w:rPr>
                <w:rFonts w:hint="eastAsia"/>
                <w:b/>
                <w:sz w:val="30"/>
                <w:szCs w:val="30"/>
                <w:lang w:val="en-US"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4E5799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</w:p>
        </w:tc>
      </w:tr>
      <w:tr w:rsidR="004E5799">
        <w:trPr>
          <w:trHeight w:val="898"/>
          <w:jc w:val="center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color w:val="000000"/>
                <w:sz w:val="30"/>
                <w:szCs w:val="30"/>
                <w:lang w:bidi="ar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设</w:t>
            </w:r>
            <w:r>
              <w:rPr>
                <w:rFonts w:hint="eastAsia"/>
                <w:b/>
                <w:sz w:val="30"/>
                <w:szCs w:val="30"/>
                <w:lang w:val="en-US"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计</w:t>
            </w:r>
            <w:r>
              <w:rPr>
                <w:rFonts w:hint="eastAsia"/>
                <w:b/>
                <w:sz w:val="30"/>
                <w:szCs w:val="30"/>
                <w:lang w:val="en-US"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单</w:t>
            </w:r>
            <w:r>
              <w:rPr>
                <w:rFonts w:hint="eastAsia"/>
                <w:b/>
                <w:sz w:val="30"/>
                <w:szCs w:val="30"/>
                <w:lang w:val="en-US" w:bidi="ar"/>
              </w:rPr>
              <w:t xml:space="preserve"> 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位</w:t>
            </w:r>
            <w:r>
              <w:rPr>
                <w:b/>
                <w:sz w:val="30"/>
                <w:szCs w:val="30"/>
                <w:lang w:bidi="ar"/>
              </w:rPr>
              <w:t>：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4E5799" w:rsidP="00E011E1">
            <w:pPr>
              <w:spacing w:line="440" w:lineRule="exact"/>
              <w:rPr>
                <w:b/>
                <w:sz w:val="30"/>
                <w:szCs w:val="30"/>
              </w:rPr>
            </w:pPr>
          </w:p>
        </w:tc>
      </w:tr>
      <w:tr w:rsidR="004E5799">
        <w:trPr>
          <w:trHeight w:val="898"/>
          <w:jc w:val="center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咨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询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单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位：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4E5799">
            <w:pPr>
              <w:rPr>
                <w:b/>
                <w:color w:val="000000"/>
                <w:sz w:val="30"/>
                <w:szCs w:val="30"/>
              </w:rPr>
            </w:pPr>
          </w:p>
        </w:tc>
      </w:tr>
      <w:tr w:rsidR="004E5799">
        <w:trPr>
          <w:trHeight w:val="898"/>
          <w:jc w:val="center"/>
        </w:trPr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sz w:val="30"/>
                <w:szCs w:val="30"/>
                <w:lang w:bidi="ar"/>
              </w:rPr>
              <w:t>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告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日</w:t>
            </w:r>
            <w:r>
              <w:rPr>
                <w:b/>
                <w:sz w:val="30"/>
                <w:szCs w:val="30"/>
                <w:lang w:bidi="ar"/>
              </w:rPr>
              <w:t xml:space="preserve"> </w:t>
            </w:r>
            <w:r>
              <w:rPr>
                <w:b/>
                <w:sz w:val="30"/>
                <w:szCs w:val="30"/>
                <w:lang w:bidi="ar"/>
              </w:rPr>
              <w:t>期：</w:t>
            </w:r>
          </w:p>
        </w:tc>
        <w:tc>
          <w:tcPr>
            <w:tcW w:w="56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color w:val="000000"/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</w:rPr>
              <w:t>XXX</w:t>
            </w:r>
            <w:r>
              <w:rPr>
                <w:b/>
                <w:sz w:val="30"/>
                <w:szCs w:val="30"/>
              </w:rPr>
              <w:t>年</w:t>
            </w:r>
            <w:r>
              <w:rPr>
                <w:rFonts w:hint="eastAsia"/>
                <w:b/>
                <w:sz w:val="30"/>
                <w:szCs w:val="30"/>
              </w:rPr>
              <w:t>XX</w:t>
            </w:r>
            <w:r>
              <w:rPr>
                <w:b/>
                <w:sz w:val="30"/>
                <w:szCs w:val="30"/>
              </w:rPr>
              <w:t>月</w:t>
            </w:r>
          </w:p>
        </w:tc>
      </w:tr>
    </w:tbl>
    <w:p w:rsidR="004E5799" w:rsidRDefault="004E5799">
      <w:pPr>
        <w:jc w:val="center"/>
        <w:rPr>
          <w:rFonts w:eastAsia="黑体"/>
          <w:b/>
          <w:spacing w:val="135"/>
          <w:sz w:val="32"/>
          <w:szCs w:val="32"/>
        </w:rPr>
      </w:pPr>
    </w:p>
    <w:p w:rsidR="004E5799" w:rsidRDefault="004E5799">
      <w:pPr>
        <w:jc w:val="center"/>
        <w:rPr>
          <w:rFonts w:eastAsia="黑体"/>
          <w:b/>
          <w:spacing w:val="135"/>
          <w:sz w:val="32"/>
          <w:szCs w:val="32"/>
        </w:rPr>
      </w:pPr>
    </w:p>
    <w:p w:rsidR="004E5799" w:rsidRDefault="004E5799">
      <w:pPr>
        <w:jc w:val="center"/>
        <w:rPr>
          <w:rFonts w:eastAsia="黑体"/>
          <w:b/>
          <w:spacing w:val="135"/>
          <w:sz w:val="32"/>
          <w:szCs w:val="32"/>
        </w:rPr>
      </w:pPr>
    </w:p>
    <w:p w:rsidR="004E5799" w:rsidRDefault="004E5799">
      <w:pPr>
        <w:jc w:val="center"/>
        <w:rPr>
          <w:rFonts w:eastAsia="黑体"/>
          <w:b/>
          <w:spacing w:val="267"/>
          <w:sz w:val="32"/>
          <w:szCs w:val="32"/>
        </w:rPr>
      </w:pPr>
    </w:p>
    <w:p w:rsidR="004E5799" w:rsidRDefault="004E5799">
      <w:pPr>
        <w:jc w:val="center"/>
        <w:rPr>
          <w:rFonts w:eastAsia="黑体"/>
          <w:b/>
          <w:spacing w:val="267"/>
          <w:sz w:val="32"/>
          <w:szCs w:val="32"/>
        </w:rPr>
      </w:pPr>
    </w:p>
    <w:p w:rsidR="004E5799" w:rsidRDefault="004E5799">
      <w:pPr>
        <w:rPr>
          <w:b/>
          <w:bCs/>
        </w:rPr>
      </w:pPr>
    </w:p>
    <w:p w:rsidR="004E5799" w:rsidRDefault="004E5799">
      <w:pPr>
        <w:spacing w:line="360" w:lineRule="auto"/>
        <w:jc w:val="center"/>
        <w:rPr>
          <w:rFonts w:eastAsia="黑体"/>
          <w:sz w:val="36"/>
          <w:szCs w:val="36"/>
        </w:rPr>
        <w:sectPr w:rsidR="004E5799">
          <w:footerReference w:type="first" r:id="rId8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E5799" w:rsidRDefault="00E011E1">
      <w:pPr>
        <w:spacing w:line="360" w:lineRule="auto"/>
        <w:jc w:val="center"/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lastRenderedPageBreak/>
        <w:t>说</w:t>
      </w:r>
      <w:r>
        <w:rPr>
          <w:rFonts w:eastAsia="黑体" w:hint="eastAsia"/>
          <w:sz w:val="36"/>
          <w:szCs w:val="36"/>
        </w:rPr>
        <w:t xml:space="preserve">  </w:t>
      </w:r>
      <w:r>
        <w:rPr>
          <w:rFonts w:eastAsia="黑体" w:hint="eastAsia"/>
          <w:sz w:val="36"/>
          <w:szCs w:val="36"/>
        </w:rPr>
        <w:t>明</w:t>
      </w:r>
    </w:p>
    <w:p w:rsidR="004E5799" w:rsidRDefault="004E5799">
      <w:pPr>
        <w:spacing w:line="360" w:lineRule="auto"/>
        <w:jc w:val="center"/>
        <w:rPr>
          <w:rFonts w:eastAsia="黑体"/>
          <w:bCs/>
          <w:sz w:val="36"/>
          <w:szCs w:val="36"/>
          <w:lang w:val="zh-CN"/>
        </w:rPr>
      </w:pPr>
    </w:p>
    <w:p w:rsidR="004E5799" w:rsidRDefault="00E011E1">
      <w:pPr>
        <w:pStyle w:val="11"/>
        <w:numPr>
          <w:ilvl w:val="0"/>
          <w:numId w:val="1"/>
        </w:numPr>
        <w:spacing w:line="360" w:lineRule="auto"/>
        <w:ind w:firstLineChars="0"/>
        <w:rPr>
          <w:rFonts w:eastAsia="黑体"/>
          <w:bCs/>
          <w:sz w:val="30"/>
          <w:szCs w:val="30"/>
          <w:lang w:val="zh-CN"/>
        </w:rPr>
      </w:pPr>
      <w:r>
        <w:rPr>
          <w:rFonts w:eastAsia="黑体" w:hint="eastAsia"/>
          <w:bCs/>
          <w:sz w:val="30"/>
          <w:szCs w:val="30"/>
          <w:lang w:val="zh-CN"/>
        </w:rPr>
        <w:t>本报告无咨询单位盖章无效；</w:t>
      </w:r>
    </w:p>
    <w:p w:rsidR="004E5799" w:rsidRDefault="00E011E1">
      <w:pPr>
        <w:pStyle w:val="11"/>
        <w:numPr>
          <w:ilvl w:val="0"/>
          <w:numId w:val="1"/>
        </w:numPr>
        <w:spacing w:line="360" w:lineRule="auto"/>
        <w:ind w:firstLineChars="0"/>
        <w:rPr>
          <w:rFonts w:eastAsia="黑体"/>
          <w:bCs/>
          <w:sz w:val="30"/>
          <w:szCs w:val="30"/>
          <w:lang w:val="zh-CN"/>
        </w:rPr>
      </w:pPr>
      <w:r>
        <w:rPr>
          <w:rFonts w:eastAsia="黑体" w:hint="eastAsia"/>
          <w:bCs/>
          <w:sz w:val="30"/>
          <w:szCs w:val="30"/>
          <w:lang w:val="zh-CN"/>
        </w:rPr>
        <w:t>本报告无编写人、校对人、审核人、项目负责人签字无效；</w:t>
      </w:r>
    </w:p>
    <w:p w:rsidR="004E5799" w:rsidRDefault="00E011E1">
      <w:pPr>
        <w:pStyle w:val="11"/>
        <w:numPr>
          <w:ilvl w:val="0"/>
          <w:numId w:val="1"/>
        </w:numPr>
        <w:spacing w:line="360" w:lineRule="auto"/>
        <w:ind w:firstLineChars="0"/>
        <w:rPr>
          <w:rFonts w:eastAsia="黑体"/>
          <w:bCs/>
          <w:sz w:val="30"/>
          <w:szCs w:val="30"/>
          <w:lang w:val="zh-CN"/>
        </w:rPr>
      </w:pPr>
      <w:r>
        <w:rPr>
          <w:rFonts w:eastAsia="黑体" w:hint="eastAsia"/>
          <w:bCs/>
          <w:sz w:val="30"/>
          <w:szCs w:val="30"/>
          <w:lang w:val="zh-CN"/>
        </w:rPr>
        <w:t>本报告涂改、复印、换页均无效；</w:t>
      </w:r>
    </w:p>
    <w:p w:rsidR="004E5799" w:rsidRDefault="00E011E1">
      <w:pPr>
        <w:pStyle w:val="11"/>
        <w:numPr>
          <w:ilvl w:val="0"/>
          <w:numId w:val="1"/>
        </w:numPr>
        <w:spacing w:line="360" w:lineRule="auto"/>
        <w:ind w:firstLineChars="0"/>
        <w:rPr>
          <w:rFonts w:eastAsia="黑体"/>
          <w:bCs/>
          <w:sz w:val="30"/>
          <w:szCs w:val="30"/>
          <w:lang w:val="zh-CN"/>
        </w:rPr>
      </w:pPr>
      <w:r>
        <w:rPr>
          <w:rFonts w:eastAsia="黑体" w:hint="eastAsia"/>
          <w:bCs/>
          <w:sz w:val="30"/>
          <w:szCs w:val="30"/>
          <w:lang w:val="zh-CN"/>
        </w:rPr>
        <w:t>本报告仅对本项目有效</w:t>
      </w:r>
    </w:p>
    <w:p w:rsidR="004E5799" w:rsidRDefault="00E011E1">
      <w:pPr>
        <w:pStyle w:val="11"/>
        <w:numPr>
          <w:ilvl w:val="0"/>
          <w:numId w:val="1"/>
        </w:numPr>
        <w:spacing w:line="360" w:lineRule="auto"/>
        <w:ind w:firstLineChars="0"/>
        <w:rPr>
          <w:rFonts w:eastAsia="黑体"/>
          <w:bCs/>
          <w:sz w:val="30"/>
          <w:szCs w:val="30"/>
          <w:lang w:val="zh-CN"/>
        </w:rPr>
      </w:pPr>
      <w:r>
        <w:rPr>
          <w:rFonts w:eastAsia="黑体" w:hint="eastAsia"/>
          <w:bCs/>
          <w:sz w:val="30"/>
          <w:szCs w:val="30"/>
          <w:lang w:val="zh-CN"/>
        </w:rPr>
        <w:t>未经咨询单位同意，不得复印本报告。</w:t>
      </w:r>
    </w:p>
    <w:p w:rsidR="004E5799" w:rsidRDefault="004E5799">
      <w:pPr>
        <w:rPr>
          <w:rFonts w:eastAsia="黑体"/>
          <w:bCs/>
          <w:sz w:val="30"/>
          <w:szCs w:val="30"/>
          <w:lang w:val="zh-CN"/>
        </w:rPr>
      </w:pPr>
    </w:p>
    <w:tbl>
      <w:tblPr>
        <w:tblW w:w="7957" w:type="dxa"/>
        <w:jc w:val="center"/>
        <w:tblLayout w:type="fixed"/>
        <w:tblLook w:val="04A0" w:firstRow="1" w:lastRow="0" w:firstColumn="1" w:lastColumn="0" w:noHBand="0" w:noVBand="1"/>
      </w:tblPr>
      <w:tblGrid>
        <w:gridCol w:w="3020"/>
        <w:gridCol w:w="4937"/>
      </w:tblGrid>
      <w:tr w:rsidR="004E5799">
        <w:trPr>
          <w:trHeight w:val="882"/>
          <w:jc w:val="center"/>
        </w:trPr>
        <w:tc>
          <w:tcPr>
            <w:tcW w:w="3020" w:type="dxa"/>
            <w:tcBorders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项目负责人：</w:t>
            </w:r>
          </w:p>
        </w:tc>
        <w:tc>
          <w:tcPr>
            <w:tcW w:w="4937" w:type="dxa"/>
            <w:tcBorders>
              <w:bottom w:val="single" w:sz="4" w:space="0" w:color="auto"/>
            </w:tcBorders>
            <w:vAlign w:val="center"/>
          </w:tcPr>
          <w:p w:rsidR="004E5799" w:rsidRDefault="004E5799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4E5799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审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核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4E5799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4E5799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校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对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4E5799">
            <w:pPr>
              <w:rPr>
                <w:sz w:val="30"/>
                <w:szCs w:val="30"/>
              </w:rPr>
            </w:pPr>
          </w:p>
        </w:tc>
      </w:tr>
      <w:tr w:rsidR="004E5799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编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写</w:t>
            </w:r>
            <w:r>
              <w:rPr>
                <w:b/>
                <w:sz w:val="30"/>
                <w:szCs w:val="30"/>
              </w:rPr>
              <w:t xml:space="preserve">  </w:t>
            </w:r>
            <w:r>
              <w:rPr>
                <w:b/>
                <w:sz w:val="30"/>
                <w:szCs w:val="30"/>
              </w:rPr>
              <w:t>人：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4E5799">
            <w:pPr>
              <w:spacing w:line="440" w:lineRule="exact"/>
              <w:rPr>
                <w:sz w:val="30"/>
                <w:szCs w:val="30"/>
              </w:rPr>
            </w:pPr>
          </w:p>
        </w:tc>
      </w:tr>
      <w:tr w:rsidR="004E5799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日</w:t>
            </w:r>
            <w:r>
              <w:rPr>
                <w:b/>
                <w:sz w:val="30"/>
                <w:szCs w:val="30"/>
              </w:rPr>
              <w:t xml:space="preserve">      </w:t>
            </w:r>
            <w:r>
              <w:rPr>
                <w:b/>
                <w:sz w:val="30"/>
                <w:szCs w:val="30"/>
              </w:rPr>
              <w:t>期：</w:t>
            </w: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ind w:firstLineChars="300" w:firstLine="904"/>
              <w:rPr>
                <w:sz w:val="30"/>
                <w:szCs w:val="30"/>
              </w:rPr>
            </w:pPr>
            <w:r>
              <w:rPr>
                <w:rFonts w:hint="eastAsia"/>
                <w:b/>
                <w:sz w:val="30"/>
                <w:szCs w:val="30"/>
                <w:lang w:bidi="ar"/>
              </w:rPr>
              <w:t>XXXX</w:t>
            </w:r>
            <w:r>
              <w:rPr>
                <w:b/>
                <w:sz w:val="30"/>
                <w:szCs w:val="30"/>
                <w:lang w:bidi="ar"/>
              </w:rPr>
              <w:t>年</w:t>
            </w:r>
            <w:r>
              <w:rPr>
                <w:rFonts w:hint="eastAsia"/>
                <w:b/>
                <w:sz w:val="30"/>
                <w:szCs w:val="30"/>
                <w:lang w:bidi="ar"/>
              </w:rPr>
              <w:t>XX</w:t>
            </w:r>
            <w:r>
              <w:rPr>
                <w:b/>
                <w:sz w:val="30"/>
                <w:szCs w:val="30"/>
                <w:lang w:bidi="ar"/>
              </w:rPr>
              <w:t>月</w:t>
            </w:r>
          </w:p>
        </w:tc>
      </w:tr>
      <w:tr w:rsidR="004E5799">
        <w:trPr>
          <w:trHeight w:val="2777"/>
          <w:jc w:val="center"/>
        </w:trPr>
        <w:tc>
          <w:tcPr>
            <w:tcW w:w="30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4E5799">
            <w:pPr>
              <w:spacing w:line="440" w:lineRule="exact"/>
              <w:rPr>
                <w:b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E5799" w:rsidRDefault="00E011E1">
            <w:pPr>
              <w:spacing w:line="440" w:lineRule="exact"/>
              <w:ind w:firstLineChars="100" w:firstLine="30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盖章处</w:t>
            </w:r>
          </w:p>
        </w:tc>
      </w:tr>
      <w:tr w:rsidR="004E5799">
        <w:trPr>
          <w:trHeight w:val="882"/>
          <w:jc w:val="center"/>
        </w:trPr>
        <w:tc>
          <w:tcPr>
            <w:tcW w:w="3020" w:type="dxa"/>
            <w:tcBorders>
              <w:top w:val="single" w:sz="4" w:space="0" w:color="auto"/>
            </w:tcBorders>
            <w:vAlign w:val="center"/>
          </w:tcPr>
          <w:p w:rsidR="004E5799" w:rsidRDefault="004E5799">
            <w:pPr>
              <w:spacing w:line="440" w:lineRule="exact"/>
              <w:rPr>
                <w:b/>
                <w:sz w:val="30"/>
                <w:szCs w:val="30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vAlign w:val="center"/>
          </w:tcPr>
          <w:p w:rsidR="004E5799" w:rsidRDefault="004E5799">
            <w:pPr>
              <w:spacing w:line="440" w:lineRule="exact"/>
              <w:rPr>
                <w:sz w:val="30"/>
                <w:szCs w:val="30"/>
              </w:rPr>
            </w:pPr>
          </w:p>
        </w:tc>
      </w:tr>
    </w:tbl>
    <w:p w:rsidR="004E5799" w:rsidRDefault="004E5799">
      <w:pPr>
        <w:rPr>
          <w:rFonts w:eastAsia="黑体"/>
          <w:bCs/>
          <w:sz w:val="30"/>
          <w:szCs w:val="30"/>
          <w:lang w:val="zh-CN"/>
        </w:rPr>
        <w:sectPr w:rsidR="004E5799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4E5799" w:rsidRDefault="00E011E1">
      <w:pPr>
        <w:pStyle w:val="ae"/>
        <w:numPr>
          <w:ilvl w:val="0"/>
          <w:numId w:val="2"/>
        </w:numPr>
        <w:spacing w:beforeLines="50" w:before="156" w:afterLines="50" w:after="156" w:line="400" w:lineRule="exact"/>
        <w:ind w:firstLineChars="0"/>
        <w:rPr>
          <w:b/>
          <w:sz w:val="24"/>
        </w:rPr>
      </w:pPr>
      <w:r>
        <w:rPr>
          <w:b/>
          <w:sz w:val="24"/>
        </w:rPr>
        <w:lastRenderedPageBreak/>
        <w:t>项目概况</w:t>
      </w:r>
    </w:p>
    <w:p w:rsidR="004E5799" w:rsidRDefault="00E011E1">
      <w:pPr>
        <w:widowControl w:val="0"/>
        <w:spacing w:line="360" w:lineRule="auto"/>
        <w:ind w:rightChars="92" w:right="166"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项目用地</w:t>
      </w:r>
      <w:r>
        <w:rPr>
          <w:rFonts w:ascii="宋体" w:hAnsi="宋体" w:hint="eastAsia"/>
          <w:sz w:val="24"/>
          <w:szCs w:val="24"/>
        </w:rPr>
        <w:t>位于成都市</w:t>
      </w:r>
      <w:r>
        <w:rPr>
          <w:rFonts w:ascii="宋体" w:hAnsi="宋体" w:hint="eastAsia"/>
          <w:sz w:val="24"/>
          <w:szCs w:val="24"/>
          <w:lang w:val="en-US"/>
        </w:rPr>
        <w:t>新都区斑竹园镇白云社区1、8社。本地块用地地形平整。地块北至兴城大道，东至宏发路，西至源旺路，南接踏水路。</w:t>
      </w:r>
      <w:r>
        <w:rPr>
          <w:rFonts w:ascii="宋体" w:hAnsi="宋体" w:hint="eastAsia"/>
          <w:color w:val="000000"/>
          <w:sz w:val="24"/>
          <w:szCs w:val="24"/>
          <w:lang w:val="en-US"/>
        </w:rPr>
        <w:t>项目包括办公、底商、酒店和独栋商业，</w:t>
      </w:r>
      <w:r>
        <w:rPr>
          <w:rFonts w:ascii="宋体" w:hAnsi="宋体" w:hint="eastAsia"/>
          <w:sz w:val="24"/>
          <w:szCs w:val="24"/>
        </w:rPr>
        <w:t>净用地面积</w:t>
      </w:r>
      <w:r>
        <w:rPr>
          <w:rFonts w:ascii="宋体" w:hAnsi="宋体" w:cs="宋体" w:hint="eastAsia"/>
          <w:sz w:val="24"/>
          <w:szCs w:val="24"/>
          <w:lang w:val="en-US"/>
        </w:rPr>
        <w:t>16549.72</w:t>
      </w:r>
      <w:r>
        <w:rPr>
          <w:rFonts w:ascii="宋体" w:hAnsi="宋体" w:hint="eastAsia"/>
          <w:sz w:val="24"/>
          <w:szCs w:val="24"/>
        </w:rPr>
        <w:t>㎡</w:t>
      </w:r>
      <w:r>
        <w:rPr>
          <w:rFonts w:ascii="宋体" w:hAnsi="宋体"/>
          <w:sz w:val="24"/>
          <w:szCs w:val="24"/>
        </w:rPr>
        <w:t>，</w:t>
      </w:r>
      <w:r>
        <w:rPr>
          <w:rFonts w:ascii="宋体" w:hAnsi="宋体" w:hint="eastAsia"/>
          <w:color w:val="000000"/>
          <w:sz w:val="24"/>
          <w:szCs w:val="24"/>
        </w:rPr>
        <w:t>总建筑面积</w:t>
      </w:r>
      <w:r>
        <w:rPr>
          <w:rFonts w:ascii="宋体" w:hAnsi="宋体" w:cs="宋体" w:hint="eastAsia"/>
          <w:color w:val="000000"/>
          <w:sz w:val="24"/>
          <w:szCs w:val="24"/>
          <w:lang w:val="en-US"/>
        </w:rPr>
        <w:t>103801.37</w:t>
      </w:r>
      <w:r>
        <w:rPr>
          <w:rFonts w:ascii="宋体" w:hAnsi="宋体" w:hint="eastAsia"/>
          <w:color w:val="000000"/>
          <w:sz w:val="24"/>
          <w:szCs w:val="24"/>
        </w:rPr>
        <w:t>㎡</w:t>
      </w:r>
      <w:r>
        <w:rPr>
          <w:rFonts w:ascii="宋体" w:hAnsi="宋体" w:cs="宋体" w:hint="eastAsia"/>
          <w:color w:val="000000"/>
          <w:sz w:val="24"/>
          <w:szCs w:val="24"/>
        </w:rPr>
        <w:t>，其中</w:t>
      </w:r>
      <w:r>
        <w:rPr>
          <w:rFonts w:ascii="宋体" w:hAnsi="宋体" w:cs="宋体" w:hint="eastAsia"/>
          <w:color w:val="000000"/>
          <w:sz w:val="24"/>
          <w:szCs w:val="24"/>
          <w:lang w:val="en-US"/>
        </w:rPr>
        <w:t>地上</w:t>
      </w:r>
      <w:r>
        <w:rPr>
          <w:rFonts w:ascii="宋体" w:hAnsi="宋体" w:cs="宋体" w:hint="eastAsia"/>
          <w:color w:val="000000"/>
          <w:sz w:val="24"/>
          <w:szCs w:val="24"/>
        </w:rPr>
        <w:t>建筑面积</w:t>
      </w:r>
      <w:r>
        <w:rPr>
          <w:rFonts w:ascii="宋体" w:hAnsi="宋体" w:cs="宋体" w:hint="eastAsia"/>
          <w:color w:val="000000"/>
          <w:sz w:val="24"/>
          <w:szCs w:val="24"/>
          <w:lang w:val="en-US"/>
        </w:rPr>
        <w:t>76485.08</w:t>
      </w:r>
      <w:r>
        <w:rPr>
          <w:rFonts w:ascii="宋体" w:hAnsi="宋体" w:hint="eastAsia"/>
          <w:color w:val="000000"/>
          <w:sz w:val="24"/>
          <w:szCs w:val="24"/>
        </w:rPr>
        <w:t>㎡，地下建筑面积</w:t>
      </w:r>
      <w:r>
        <w:rPr>
          <w:rFonts w:ascii="宋体" w:hAnsi="宋体" w:cs="宋体" w:hint="eastAsia"/>
          <w:color w:val="000000"/>
          <w:sz w:val="24"/>
          <w:szCs w:val="24"/>
          <w:lang w:val="en-US"/>
        </w:rPr>
        <w:t>27316.29</w:t>
      </w:r>
      <w:r>
        <w:rPr>
          <w:rFonts w:ascii="宋体" w:hAnsi="宋体" w:hint="eastAsia"/>
          <w:color w:val="000000"/>
          <w:sz w:val="24"/>
          <w:szCs w:val="24"/>
        </w:rPr>
        <w:t>㎡，</w:t>
      </w:r>
      <w:r>
        <w:rPr>
          <w:rFonts w:ascii="宋体" w:hAnsi="宋体" w:hint="eastAsia"/>
          <w:color w:val="000000"/>
          <w:sz w:val="24"/>
          <w:szCs w:val="24"/>
          <w:lang w:val="en-US"/>
        </w:rPr>
        <w:t>地下2层。</w:t>
      </w:r>
      <w:r>
        <w:rPr>
          <w:sz w:val="24"/>
          <w:szCs w:val="24"/>
        </w:rPr>
        <w:t xml:space="preserve"> </w:t>
      </w:r>
    </w:p>
    <w:p w:rsidR="004E5799" w:rsidRDefault="00E011E1">
      <w:pPr>
        <w:widowControl w:val="0"/>
        <w:spacing w:line="360" w:lineRule="auto"/>
        <w:ind w:firstLine="480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项目</w:t>
      </w:r>
      <w:r>
        <w:rPr>
          <w:rFonts w:hint="eastAsia"/>
          <w:color w:val="000000"/>
          <w:sz w:val="24"/>
          <w:szCs w:val="24"/>
          <w:shd w:val="clear" w:color="auto" w:fill="FFFFFF"/>
        </w:rPr>
        <w:t>效果图</w:t>
      </w:r>
      <w:r>
        <w:rPr>
          <w:color w:val="000000"/>
          <w:sz w:val="24"/>
          <w:szCs w:val="24"/>
          <w:shd w:val="clear" w:color="auto" w:fill="FFFFFF"/>
        </w:rPr>
        <w:t>如下所示：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</w:p>
    <w:p w:rsidR="004E5799" w:rsidRDefault="00E011E1">
      <w:pPr>
        <w:pStyle w:val="lj0"/>
        <w:spacing w:before="156" w:after="156"/>
        <w:rPr>
          <w:rFonts w:cs="Times New Roman"/>
        </w:rPr>
      </w:pPr>
      <w:r>
        <w:rPr>
          <w:noProof/>
        </w:rPr>
        <w:drawing>
          <wp:inline distT="0" distB="0" distL="114300" distR="114300">
            <wp:extent cx="5271770" cy="5144135"/>
            <wp:effectExtent l="0" t="0" r="5080" b="18415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5144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99" w:rsidRDefault="00E011E1">
      <w:pPr>
        <w:pStyle w:val="lj0"/>
        <w:spacing w:before="156" w:after="156"/>
        <w:rPr>
          <w:rFonts w:cs="Times New Roman"/>
          <w:bCs/>
        </w:rPr>
      </w:pPr>
      <w:r>
        <w:rPr>
          <w:rFonts w:cs="Times New Roman"/>
          <w:bCs/>
        </w:rPr>
        <w:t>图</w:t>
      </w:r>
      <w:r>
        <w:rPr>
          <w:rFonts w:cs="Times New Roman"/>
          <w:bCs/>
        </w:rPr>
        <w:t>1</w:t>
      </w:r>
      <w:r>
        <w:rPr>
          <w:rFonts w:cs="Times New Roman" w:hint="eastAsia"/>
          <w:bCs/>
        </w:rPr>
        <w:t>-1</w:t>
      </w:r>
      <w:r>
        <w:rPr>
          <w:rFonts w:cs="Times New Roman"/>
          <w:bCs/>
        </w:rPr>
        <w:t xml:space="preserve">  </w:t>
      </w:r>
      <w:r>
        <w:rPr>
          <w:rFonts w:cs="Times New Roman"/>
          <w:bCs/>
        </w:rPr>
        <w:t>项目</w:t>
      </w:r>
      <w:r>
        <w:rPr>
          <w:rFonts w:cs="Times New Roman" w:hint="eastAsia"/>
          <w:bCs/>
        </w:rPr>
        <w:t>效果图</w:t>
      </w:r>
    </w:p>
    <w:p w:rsidR="004E5799" w:rsidRDefault="004E5799">
      <w:pPr>
        <w:pStyle w:val="lj0"/>
        <w:spacing w:before="156" w:after="156"/>
        <w:rPr>
          <w:rFonts w:cs="Times New Roman"/>
          <w:bCs/>
        </w:rPr>
      </w:pPr>
    </w:p>
    <w:p w:rsidR="004E5799" w:rsidRDefault="004E5799">
      <w:pPr>
        <w:pStyle w:val="lj0"/>
        <w:spacing w:before="156" w:after="156"/>
        <w:rPr>
          <w:rFonts w:cs="Times New Roman"/>
          <w:bCs/>
        </w:rPr>
      </w:pPr>
    </w:p>
    <w:p w:rsidR="004E5799" w:rsidRDefault="00E011E1">
      <w:pPr>
        <w:pStyle w:val="ae"/>
        <w:numPr>
          <w:ilvl w:val="0"/>
          <w:numId w:val="2"/>
        </w:numPr>
        <w:spacing w:beforeLines="50" w:before="156" w:afterLines="50" w:after="156" w:line="400" w:lineRule="exact"/>
        <w:ind w:firstLineChars="0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3457575</wp:posOffset>
                </wp:positionH>
                <wp:positionV relativeFrom="paragraph">
                  <wp:posOffset>207010</wp:posOffset>
                </wp:positionV>
                <wp:extent cx="1095375" cy="323850"/>
                <wp:effectExtent l="266700" t="0" r="28575" b="361950"/>
                <wp:wrapNone/>
                <wp:docPr id="5" name="标注: 线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23850"/>
                        </a:xfrm>
                        <a:prstGeom prst="borderCallout1">
                          <a:avLst>
                            <a:gd name="adj1" fmla="val 46023"/>
                            <a:gd name="adj2" fmla="val -507"/>
                            <a:gd name="adj3" fmla="val 204212"/>
                            <a:gd name="adj4" fmla="val -23642"/>
                          </a:avLst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E5799" w:rsidRDefault="00E011E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/>
                              </w:rPr>
                              <w:t>出屋面玻璃幕墙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标注: 线形 5" o:spid="_x0000_s1026" type="#_x0000_t47" style="position:absolute;left:0;text-align:left;margin-left:272.25pt;margin-top:16.3pt;width:86.25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" adj="-5107,44110,-110,9941" filled="f" strokecolor="#c00000" strokeweight="2pt">
                <v:textbox>
                  <w:txbxContent>
                    <w:p w:rsidR="004E5799" w:rsidRDefault="00E011E1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/>
                        </w:rPr>
                        <w:t>出屋面玻璃幕墙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>
        <w:rPr>
          <w:b/>
          <w:sz w:val="24"/>
        </w:rPr>
        <w:t>计算过程</w:t>
      </w:r>
    </w:p>
    <w:p w:rsidR="004E5799" w:rsidRDefault="004E5799">
      <w:pPr>
        <w:spacing w:line="276" w:lineRule="auto"/>
        <w:jc w:val="center"/>
      </w:pPr>
    </w:p>
    <w:p w:rsidR="004E5799" w:rsidRDefault="00E011E1">
      <w:pPr>
        <w:spacing w:line="276" w:lineRule="auto"/>
        <w:jc w:val="center"/>
      </w:pPr>
      <w:r>
        <w:rPr>
          <w:noProof/>
          <w:lang w:val="en-US"/>
        </w:rPr>
        <w:drawing>
          <wp:inline distT="0" distB="0" distL="114300" distR="114300">
            <wp:extent cx="5269865" cy="1330325"/>
            <wp:effectExtent l="0" t="0" r="6985" b="3175"/>
            <wp:docPr id="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33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5799" w:rsidRDefault="00E011E1">
      <w:pPr>
        <w:jc w:val="center"/>
      </w:pPr>
      <w:r>
        <w:rPr>
          <w:rFonts w:hint="eastAsia"/>
        </w:rPr>
        <w:t>图一</w:t>
      </w:r>
      <w:r>
        <w:rPr>
          <w:rFonts w:hint="eastAsia"/>
        </w:rPr>
        <w:t xml:space="preserve">  </w:t>
      </w:r>
      <w:r>
        <w:rPr>
          <w:rFonts w:hint="eastAsia"/>
        </w:rPr>
        <w:t>屋面层</w:t>
      </w:r>
      <w:r>
        <w:t>立面图</w:t>
      </w:r>
    </w:p>
    <w:p w:rsidR="004E5799" w:rsidRDefault="00E011E1">
      <w:pPr>
        <w:spacing w:line="360" w:lineRule="auto"/>
        <w:ind w:leftChars="50" w:left="90" w:firstLineChars="150" w:firstLine="360"/>
        <w:rPr>
          <w:sz w:val="24"/>
          <w:szCs w:val="24"/>
        </w:rPr>
      </w:pPr>
      <w:r>
        <w:rPr>
          <w:rFonts w:hint="eastAsia"/>
          <w:sz w:val="24"/>
          <w:szCs w:val="24"/>
        </w:rPr>
        <w:t>本项目出屋面部分设玻璃幕墙装饰性构件，具体造价比例计算详下表：</w:t>
      </w:r>
    </w:p>
    <w:p w:rsidR="004E5799" w:rsidRDefault="00E011E1">
      <w:pPr>
        <w:spacing w:beforeLines="50" w:before="156" w:afterLines="50" w:after="156" w:line="400" w:lineRule="exact"/>
        <w:jc w:val="center"/>
        <w:rPr>
          <w:bCs/>
          <w:sz w:val="21"/>
          <w:szCs w:val="21"/>
        </w:rPr>
      </w:pPr>
      <w:r>
        <w:rPr>
          <w:rFonts w:hint="eastAsia"/>
          <w:bCs/>
          <w:sz w:val="21"/>
          <w:szCs w:val="21"/>
        </w:rPr>
        <w:t>表</w:t>
      </w:r>
      <w:r>
        <w:rPr>
          <w:rFonts w:hint="eastAsia"/>
          <w:bCs/>
          <w:sz w:val="21"/>
          <w:szCs w:val="21"/>
        </w:rPr>
        <w:t>1</w:t>
      </w:r>
      <w:r>
        <w:rPr>
          <w:bCs/>
          <w:sz w:val="21"/>
          <w:szCs w:val="21"/>
        </w:rPr>
        <w:t xml:space="preserve">   </w:t>
      </w:r>
      <w:r>
        <w:rPr>
          <w:rFonts w:hint="eastAsia"/>
          <w:bCs/>
          <w:sz w:val="21"/>
          <w:szCs w:val="21"/>
        </w:rPr>
        <w:t>装饰性构件造价比例计算</w:t>
      </w:r>
    </w:p>
    <w:tbl>
      <w:tblPr>
        <w:tblW w:w="5000" w:type="pct"/>
        <w:jc w:val="center"/>
        <w:tblBorders>
          <w:top w:val="single" w:sz="12" w:space="0" w:color="auto"/>
          <w:bottom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1563"/>
        <w:gridCol w:w="520"/>
        <w:gridCol w:w="915"/>
        <w:gridCol w:w="1048"/>
        <w:gridCol w:w="1152"/>
        <w:gridCol w:w="1152"/>
        <w:gridCol w:w="1147"/>
      </w:tblGrid>
      <w:tr w:rsidR="004E5799">
        <w:trPr>
          <w:trHeight w:val="587"/>
          <w:tblHeader/>
          <w:jc w:val="center"/>
        </w:trPr>
        <w:tc>
          <w:tcPr>
            <w:tcW w:w="601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序号</w:t>
            </w:r>
          </w:p>
        </w:tc>
        <w:tc>
          <w:tcPr>
            <w:tcW w:w="917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材料</w:t>
            </w:r>
          </w:p>
        </w:tc>
        <w:tc>
          <w:tcPr>
            <w:tcW w:w="305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单位</w:t>
            </w:r>
          </w:p>
        </w:tc>
        <w:tc>
          <w:tcPr>
            <w:tcW w:w="537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工程量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单价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元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装饰性构件总造价（万元）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工程总造价（万元）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装饰性构件占工程总造价的比例（</w:t>
            </w:r>
            <w:r>
              <w:rPr>
                <w:rFonts w:hint="eastAsia"/>
                <w:sz w:val="21"/>
                <w:szCs w:val="21"/>
              </w:rPr>
              <w:t>%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</w:tr>
      <w:tr w:rsidR="004E5799">
        <w:trPr>
          <w:jc w:val="center"/>
        </w:trPr>
        <w:tc>
          <w:tcPr>
            <w:tcW w:w="601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7#</w:t>
            </w:r>
            <w:r>
              <w:rPr>
                <w:rFonts w:hint="eastAsia"/>
                <w:sz w:val="21"/>
                <w:szCs w:val="21"/>
                <w:lang w:val="en-US"/>
              </w:rPr>
              <w:t>楼</w:t>
            </w:r>
          </w:p>
        </w:tc>
        <w:tc>
          <w:tcPr>
            <w:tcW w:w="917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出屋面玻璃幕墙装饰构件</w:t>
            </w:r>
          </w:p>
        </w:tc>
        <w:tc>
          <w:tcPr>
            <w:tcW w:w="305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</w:rPr>
              <w:t>M</w:t>
            </w:r>
            <w:r>
              <w:rPr>
                <w:rFonts w:hint="eastAsia"/>
                <w:sz w:val="21"/>
                <w:szCs w:val="21"/>
                <w:lang w:val="en-US"/>
              </w:rPr>
              <w:t>2</w:t>
            </w:r>
          </w:p>
        </w:tc>
        <w:tc>
          <w:tcPr>
            <w:tcW w:w="537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/>
              </w:rPr>
              <w:t>912.5</w:t>
            </w:r>
          </w:p>
        </w:tc>
        <w:tc>
          <w:tcPr>
            <w:tcW w:w="615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515.00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66.31</w:t>
            </w:r>
          </w:p>
        </w:tc>
        <w:tc>
          <w:tcPr>
            <w:tcW w:w="676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  <w:lang w:val="en-US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11313</w:t>
            </w:r>
          </w:p>
        </w:tc>
        <w:tc>
          <w:tcPr>
            <w:tcW w:w="673" w:type="pct"/>
            <w:tcBorders>
              <w:tl2br w:val="nil"/>
              <w:tr2bl w:val="nil"/>
            </w:tcBorders>
            <w:vAlign w:val="center"/>
          </w:tcPr>
          <w:p w:rsidR="004E5799" w:rsidRDefault="00E011E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/>
              </w:rPr>
              <w:t>0.42</w:t>
            </w:r>
            <w:r>
              <w:rPr>
                <w:rFonts w:hint="eastAsia"/>
                <w:sz w:val="21"/>
                <w:szCs w:val="21"/>
              </w:rPr>
              <w:t>%</w:t>
            </w:r>
          </w:p>
        </w:tc>
      </w:tr>
    </w:tbl>
    <w:p w:rsidR="004E5799" w:rsidRDefault="00E011E1">
      <w:pPr>
        <w:ind w:leftChars="200" w:left="900" w:hangingChars="300" w:hanging="540"/>
        <w:rPr>
          <w:szCs w:val="18"/>
        </w:rPr>
      </w:pPr>
      <w:r>
        <w:rPr>
          <w:szCs w:val="18"/>
        </w:rPr>
        <w:t>注：</w:t>
      </w:r>
      <w:r>
        <w:rPr>
          <w:szCs w:val="18"/>
        </w:rPr>
        <w:t xml:space="preserve">1 </w:t>
      </w:r>
      <w:r>
        <w:rPr>
          <w:szCs w:val="18"/>
        </w:rPr>
        <w:t>根据《民用建筑设计通则》</w:t>
      </w:r>
      <w:r>
        <w:rPr>
          <w:szCs w:val="18"/>
        </w:rPr>
        <w:t>GB 50352-2005</w:t>
      </w:r>
      <w:r>
        <w:rPr>
          <w:szCs w:val="18"/>
        </w:rPr>
        <w:t>以及《平屋面》</w:t>
      </w:r>
      <w:r>
        <w:rPr>
          <w:szCs w:val="18"/>
        </w:rPr>
        <w:t>11ZJ20</w:t>
      </w:r>
      <w:r>
        <w:rPr>
          <w:szCs w:val="18"/>
        </w:rPr>
        <w:t>图集中的要求，从建筑完成面算起上人屋面女儿墙高度不小于</w:t>
      </w:r>
      <w:r>
        <w:rPr>
          <w:szCs w:val="18"/>
        </w:rPr>
        <w:t>1.1m</w:t>
      </w:r>
      <w:r>
        <w:rPr>
          <w:szCs w:val="18"/>
        </w:rPr>
        <w:t>。上人屋面从结构完成面到建筑完成面一般有</w:t>
      </w:r>
      <w:r>
        <w:rPr>
          <w:szCs w:val="18"/>
        </w:rPr>
        <w:t>40mm</w:t>
      </w:r>
      <w:r>
        <w:rPr>
          <w:szCs w:val="18"/>
        </w:rPr>
        <w:t>左右的防水层和找坡，因此，从结构完成面算起上人屋面女儿墙高度不小于</w:t>
      </w:r>
      <w:r>
        <w:rPr>
          <w:szCs w:val="18"/>
        </w:rPr>
        <w:t>1.5m</w:t>
      </w:r>
      <w:r>
        <w:rPr>
          <w:szCs w:val="18"/>
        </w:rPr>
        <w:t>。</w:t>
      </w:r>
    </w:p>
    <w:p w:rsidR="004E5799" w:rsidRDefault="004E5799">
      <w:pPr>
        <w:rPr>
          <w:szCs w:val="16"/>
        </w:rPr>
      </w:pPr>
    </w:p>
    <w:p w:rsidR="004E5799" w:rsidRDefault="00E011E1">
      <w:pPr>
        <w:pStyle w:val="ae"/>
        <w:numPr>
          <w:ilvl w:val="0"/>
          <w:numId w:val="2"/>
        </w:numPr>
        <w:spacing w:beforeLines="50" w:before="156" w:afterLines="50" w:after="156" w:line="400" w:lineRule="exact"/>
        <w:ind w:firstLineChars="0"/>
        <w:rPr>
          <w:b/>
          <w:sz w:val="24"/>
        </w:rPr>
      </w:pPr>
      <w:r>
        <w:rPr>
          <w:rFonts w:hint="eastAsia"/>
          <w:b/>
          <w:sz w:val="24"/>
        </w:rPr>
        <w:t>结论</w:t>
      </w:r>
    </w:p>
    <w:p w:rsidR="004E5799" w:rsidRDefault="00E011E1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本项目装饰性构件的工程造价占工程总造价的</w:t>
      </w:r>
      <w:r>
        <w:rPr>
          <w:rFonts w:hint="eastAsia"/>
          <w:sz w:val="24"/>
        </w:rPr>
        <w:t>不大于</w:t>
      </w:r>
      <w:r w:rsidR="00DF1832">
        <w:rPr>
          <w:rFonts w:hint="eastAsia"/>
          <w:sz w:val="24"/>
        </w:rPr>
        <w:t>0.5</w:t>
      </w:r>
      <w:r>
        <w:rPr>
          <w:rFonts w:hint="eastAsia"/>
          <w:sz w:val="24"/>
        </w:rPr>
        <w:t>%</w:t>
      </w:r>
      <w:r>
        <w:rPr>
          <w:rFonts w:hint="eastAsia"/>
          <w:sz w:val="24"/>
        </w:rPr>
        <w:t>，</w:t>
      </w:r>
      <w:r>
        <w:rPr>
          <w:sz w:val="24"/>
        </w:rPr>
        <w:t>符合</w:t>
      </w:r>
      <w:r w:rsidR="00DF1832">
        <w:rPr>
          <w:rFonts w:ascii="宋体" w:hAnsi="宋体" w:cs="宋体" w:hint="eastAsia"/>
          <w:sz w:val="24"/>
          <w:szCs w:val="24"/>
        </w:rPr>
        <w:t>成都市建筑绿色设计施工图审查技术要点》（2019版）中</w:t>
      </w:r>
      <w:r w:rsidR="00DF1832">
        <w:rPr>
          <w:rFonts w:ascii="宋体" w:hAnsi="宋体" w:cs="宋体"/>
          <w:sz w:val="24"/>
          <w:szCs w:val="24"/>
        </w:rPr>
        <w:t>2.1.1.14</w:t>
      </w:r>
      <w:r w:rsidR="00DF1832">
        <w:rPr>
          <w:sz w:val="24"/>
        </w:rPr>
        <w:t>条</w:t>
      </w:r>
      <w:r>
        <w:rPr>
          <w:rFonts w:hint="eastAsia"/>
          <w:sz w:val="24"/>
        </w:rPr>
        <w:t>“建筑造型要素简约，且无大量装饰性构件”的要求。</w:t>
      </w:r>
    </w:p>
    <w:p w:rsidR="004E5799" w:rsidRPr="00DF1832" w:rsidRDefault="004E5799">
      <w:pPr>
        <w:adjustRightInd w:val="0"/>
        <w:ind w:leftChars="350" w:left="810" w:hangingChars="100" w:hanging="180"/>
        <w:textAlignment w:val="center"/>
        <w:rPr>
          <w:szCs w:val="16"/>
        </w:rPr>
      </w:pPr>
      <w:bookmarkStart w:id="0" w:name="_GoBack"/>
      <w:bookmarkEnd w:id="0"/>
    </w:p>
    <w:sectPr w:rsidR="004E5799" w:rsidRPr="00DF1832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17C" w:rsidRDefault="00E011E1">
      <w:pPr>
        <w:spacing w:line="240" w:lineRule="auto"/>
      </w:pPr>
      <w:r>
        <w:separator/>
      </w:r>
    </w:p>
  </w:endnote>
  <w:endnote w:type="continuationSeparator" w:id="0">
    <w:p w:rsidR="0050717C" w:rsidRDefault="00E011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..t...Y.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99" w:rsidRDefault="004E5799">
    <w:pPr>
      <w:pStyle w:val="a8"/>
    </w:pPr>
  </w:p>
  <w:p w:rsidR="004E5799" w:rsidRDefault="004E579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5799" w:rsidRDefault="004E5799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1015135"/>
    </w:sdtPr>
    <w:sdtEndPr>
      <w:rPr>
        <w:lang w:val="zh-CN"/>
      </w:rPr>
    </w:sdtEndPr>
    <w:sdtContent>
      <w:p w:rsidR="004E5799" w:rsidRDefault="00E011E1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832" w:rsidRPr="00DF1832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4E5799" w:rsidRDefault="004E579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17C" w:rsidRDefault="00E011E1">
      <w:pPr>
        <w:spacing w:line="240" w:lineRule="auto"/>
      </w:pPr>
      <w:r>
        <w:separator/>
      </w:r>
    </w:p>
  </w:footnote>
  <w:footnote w:type="continuationSeparator" w:id="0">
    <w:p w:rsidR="0050717C" w:rsidRDefault="00E011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12AA9"/>
    <w:multiLevelType w:val="multilevel"/>
    <w:tmpl w:val="09412AA9"/>
    <w:lvl w:ilvl="0">
      <w:start w:val="1"/>
      <w:numFmt w:val="decimal"/>
      <w:lvlText w:val="%1、"/>
      <w:lvlJc w:val="left"/>
      <w:pPr>
        <w:ind w:left="720" w:hanging="720"/>
      </w:pPr>
      <w:rPr>
        <w:rFonts w:ascii="黑体" w:eastAsia="黑体" w:hAnsi="黑体" w:cs="Times New Roman" w:hint="default"/>
        <w:sz w:val="3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7856ED"/>
    <w:multiLevelType w:val="multilevel"/>
    <w:tmpl w:val="787856E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C40"/>
    <w:rsid w:val="00027CA4"/>
    <w:rsid w:val="00065A2D"/>
    <w:rsid w:val="0008402F"/>
    <w:rsid w:val="00094A28"/>
    <w:rsid w:val="000E30B2"/>
    <w:rsid w:val="000F6C8F"/>
    <w:rsid w:val="001675C0"/>
    <w:rsid w:val="00171BEF"/>
    <w:rsid w:val="001C4E43"/>
    <w:rsid w:val="001C6916"/>
    <w:rsid w:val="001D634B"/>
    <w:rsid w:val="001E2498"/>
    <w:rsid w:val="001E58C9"/>
    <w:rsid w:val="0020680B"/>
    <w:rsid w:val="00240122"/>
    <w:rsid w:val="002556F1"/>
    <w:rsid w:val="002D796F"/>
    <w:rsid w:val="00313C47"/>
    <w:rsid w:val="003215D2"/>
    <w:rsid w:val="00346151"/>
    <w:rsid w:val="00355550"/>
    <w:rsid w:val="003615BE"/>
    <w:rsid w:val="00381985"/>
    <w:rsid w:val="00396D99"/>
    <w:rsid w:val="003B7766"/>
    <w:rsid w:val="003F04BF"/>
    <w:rsid w:val="003F7C27"/>
    <w:rsid w:val="00416549"/>
    <w:rsid w:val="00454EBC"/>
    <w:rsid w:val="004609F4"/>
    <w:rsid w:val="00486BD3"/>
    <w:rsid w:val="00494A9D"/>
    <w:rsid w:val="004E4DD8"/>
    <w:rsid w:val="004E5799"/>
    <w:rsid w:val="0050717C"/>
    <w:rsid w:val="00514C40"/>
    <w:rsid w:val="00547A8A"/>
    <w:rsid w:val="00561125"/>
    <w:rsid w:val="0059736C"/>
    <w:rsid w:val="005C28E0"/>
    <w:rsid w:val="005C4245"/>
    <w:rsid w:val="00616667"/>
    <w:rsid w:val="006307C7"/>
    <w:rsid w:val="006852E3"/>
    <w:rsid w:val="006A53F3"/>
    <w:rsid w:val="00711961"/>
    <w:rsid w:val="00780A11"/>
    <w:rsid w:val="007C4070"/>
    <w:rsid w:val="00845658"/>
    <w:rsid w:val="00847DAF"/>
    <w:rsid w:val="00866BCF"/>
    <w:rsid w:val="008A2E25"/>
    <w:rsid w:val="008E1018"/>
    <w:rsid w:val="0091512F"/>
    <w:rsid w:val="00923A76"/>
    <w:rsid w:val="00935D2D"/>
    <w:rsid w:val="00950C26"/>
    <w:rsid w:val="00957BFE"/>
    <w:rsid w:val="00960713"/>
    <w:rsid w:val="00975C03"/>
    <w:rsid w:val="00980516"/>
    <w:rsid w:val="009A13C9"/>
    <w:rsid w:val="009E63CA"/>
    <w:rsid w:val="00A02185"/>
    <w:rsid w:val="00A51D02"/>
    <w:rsid w:val="00AA68B5"/>
    <w:rsid w:val="00AB21EA"/>
    <w:rsid w:val="00B756C0"/>
    <w:rsid w:val="00BE0F31"/>
    <w:rsid w:val="00BE6ACD"/>
    <w:rsid w:val="00C40E58"/>
    <w:rsid w:val="00C75C79"/>
    <w:rsid w:val="00CF5E8A"/>
    <w:rsid w:val="00D369F1"/>
    <w:rsid w:val="00D52FB5"/>
    <w:rsid w:val="00DA5A64"/>
    <w:rsid w:val="00DF1832"/>
    <w:rsid w:val="00E011E1"/>
    <w:rsid w:val="00E173EF"/>
    <w:rsid w:val="00E36F8A"/>
    <w:rsid w:val="00E410F9"/>
    <w:rsid w:val="00E432D2"/>
    <w:rsid w:val="00E975A5"/>
    <w:rsid w:val="00EA1422"/>
    <w:rsid w:val="00ED088A"/>
    <w:rsid w:val="00ED5948"/>
    <w:rsid w:val="00F54E00"/>
    <w:rsid w:val="00FA0DD1"/>
    <w:rsid w:val="00FC0CAA"/>
    <w:rsid w:val="00FE294B"/>
    <w:rsid w:val="0EB67659"/>
    <w:rsid w:val="110835F7"/>
    <w:rsid w:val="14220A63"/>
    <w:rsid w:val="14881457"/>
    <w:rsid w:val="158C3519"/>
    <w:rsid w:val="160A0148"/>
    <w:rsid w:val="189F09D3"/>
    <w:rsid w:val="22940867"/>
    <w:rsid w:val="26AB4172"/>
    <w:rsid w:val="2D2F681E"/>
    <w:rsid w:val="2E3C62D5"/>
    <w:rsid w:val="37AF6949"/>
    <w:rsid w:val="62C97EA5"/>
    <w:rsid w:val="64093B3A"/>
    <w:rsid w:val="67BB02EB"/>
    <w:rsid w:val="6E8A03B3"/>
    <w:rsid w:val="71CE4F40"/>
    <w:rsid w:val="71EF0A3C"/>
    <w:rsid w:val="75464487"/>
    <w:rsid w:val="7C05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7309837-0C74-4B96-A6C5-948698BB2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spacing w:line="360" w:lineRule="exact"/>
    </w:pPr>
    <w:rPr>
      <w:sz w:val="18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tLeast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</w:style>
  <w:style w:type="paragraph" w:styleId="a4">
    <w:name w:val="Date"/>
    <w:basedOn w:val="a"/>
    <w:next w:val="a"/>
    <w:link w:val="a5"/>
    <w:uiPriority w:val="99"/>
    <w:unhideWhenUsed/>
    <w:qFormat/>
    <w:pPr>
      <w:ind w:leftChars="2500" w:left="100"/>
    </w:pPr>
  </w:style>
  <w:style w:type="paragraph" w:styleId="a6">
    <w:name w:val="Balloon Text"/>
    <w:basedOn w:val="a"/>
    <w:link w:val="a7"/>
    <w:uiPriority w:val="99"/>
    <w:unhideWhenUsed/>
    <w:qFormat/>
    <w:pPr>
      <w:spacing w:line="240" w:lineRule="auto"/>
    </w:pPr>
    <w:rPr>
      <w:szCs w:val="18"/>
    </w:rPr>
  </w:style>
  <w:style w:type="paragraph" w:styleId="a8">
    <w:name w:val="footer"/>
    <w:basedOn w:val="a"/>
    <w:link w:val="a9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Cs w:val="18"/>
      <w:lang w:val="en-US"/>
    </w:rPr>
  </w:style>
  <w:style w:type="paragraph" w:styleId="aa">
    <w:name w:val="header"/>
    <w:basedOn w:val="a"/>
    <w:link w:val="ab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Cs w:val="18"/>
      <w:lang w:val="en-US"/>
    </w:rPr>
  </w:style>
  <w:style w:type="paragraph" w:styleId="21">
    <w:name w:val="toc 2"/>
    <w:basedOn w:val="a"/>
    <w:next w:val="a"/>
    <w:uiPriority w:val="39"/>
    <w:qFormat/>
    <w:pPr>
      <w:tabs>
        <w:tab w:val="left" w:pos="540"/>
        <w:tab w:val="left" w:pos="840"/>
        <w:tab w:val="right" w:leader="dot" w:pos="9360"/>
      </w:tabs>
      <w:ind w:left="200"/>
    </w:pPr>
    <w:rPr>
      <w:kern w:val="2"/>
      <w:sz w:val="21"/>
      <w:szCs w:val="24"/>
      <w:lang w:val="en-US"/>
    </w:rPr>
  </w:style>
  <w:style w:type="paragraph" w:styleId="9">
    <w:name w:val="toc 9"/>
    <w:basedOn w:val="a"/>
    <w:next w:val="a"/>
    <w:uiPriority w:val="39"/>
    <w:semiHidden/>
    <w:unhideWhenUsed/>
    <w:pPr>
      <w:ind w:leftChars="1600" w:left="3360"/>
    </w:pPr>
  </w:style>
  <w:style w:type="character" w:styleId="ac">
    <w:name w:val="Hyperlink"/>
    <w:uiPriority w:val="99"/>
    <w:qFormat/>
    <w:rPr>
      <w:color w:val="0000FF"/>
      <w:u w:val="single"/>
    </w:rPr>
  </w:style>
  <w:style w:type="character" w:customStyle="1" w:styleId="ab">
    <w:name w:val="页眉 字符"/>
    <w:basedOn w:val="a1"/>
    <w:link w:val="aa"/>
    <w:qFormat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qFormat/>
    <w:rPr>
      <w:sz w:val="18"/>
      <w:szCs w:val="18"/>
    </w:rPr>
  </w:style>
  <w:style w:type="paragraph" w:customStyle="1" w:styleId="ad">
    <w:name w:val="标题二"/>
    <w:basedOn w:val="2"/>
    <w:qFormat/>
    <w:pPr>
      <w:widowControl w:val="0"/>
      <w:autoSpaceDE w:val="0"/>
      <w:autoSpaceDN w:val="0"/>
      <w:adjustRightInd w:val="0"/>
      <w:spacing w:before="140" w:after="140" w:line="415" w:lineRule="auto"/>
      <w:ind w:right="240"/>
    </w:pPr>
    <w:rPr>
      <w:rFonts w:ascii="仿宋_GB2312" w:eastAsia="黑体" w:hAnsi="宋体" w:cs="Times New Roman"/>
      <w:sz w:val="28"/>
      <w:lang w:val="en-US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  <w:lang w:val="en-GB"/>
    </w:rPr>
  </w:style>
  <w:style w:type="paragraph" w:customStyle="1" w:styleId="TOC1">
    <w:name w:val="TOC 标题1"/>
    <w:basedOn w:val="1"/>
    <w:next w:val="a"/>
    <w:uiPriority w:val="39"/>
    <w:unhideWhenUsed/>
    <w:qFormat/>
    <w:pPr>
      <w:outlineLvl w:val="9"/>
    </w:pPr>
  </w:style>
  <w:style w:type="character" w:customStyle="1" w:styleId="20">
    <w:name w:val="标题 2 字符"/>
    <w:basedOn w:val="a1"/>
    <w:link w:val="2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  <w:lang w:val="en-GB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kern w:val="0"/>
      <w:sz w:val="18"/>
      <w:szCs w:val="18"/>
      <w:lang w:val="en-GB"/>
    </w:rPr>
  </w:style>
  <w:style w:type="character" w:customStyle="1" w:styleId="a5">
    <w:name w:val="日期 字符"/>
    <w:basedOn w:val="a1"/>
    <w:link w:val="a4"/>
    <w:uiPriority w:val="99"/>
    <w:semiHidden/>
    <w:qFormat/>
    <w:rPr>
      <w:rFonts w:ascii="Times New Roman" w:eastAsia="宋体" w:hAnsi="Times New Roman" w:cs="Times New Roman"/>
      <w:sz w:val="18"/>
      <w:lang w:val="en-GB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  <w:rPr>
      <w:sz w:val="21"/>
    </w:rPr>
  </w:style>
  <w:style w:type="paragraph" w:styleId="ae">
    <w:name w:val="List Paragraph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kern w:val="2"/>
      <w:sz w:val="21"/>
      <w:lang w:val="en-US"/>
    </w:rPr>
  </w:style>
  <w:style w:type="paragraph" w:customStyle="1" w:styleId="lj">
    <w:name w:val="lj正文"/>
    <w:qFormat/>
    <w:pPr>
      <w:spacing w:line="360" w:lineRule="auto"/>
      <w:ind w:firstLineChars="200" w:firstLine="200"/>
    </w:pPr>
    <w:rPr>
      <w:rFonts w:ascii="宋体" w:hAnsi="宋体"/>
      <w:color w:val="000000"/>
      <w:sz w:val="24"/>
      <w:szCs w:val="24"/>
      <w:shd w:val="clear" w:color="auto" w:fill="FFFFFF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..t...Y." w:eastAsia="..t...Y." w:hAnsi="Calibri" w:cs="..t...Y."/>
      <w:color w:val="000000"/>
      <w:sz w:val="24"/>
      <w:szCs w:val="24"/>
    </w:rPr>
  </w:style>
  <w:style w:type="paragraph" w:customStyle="1" w:styleId="lj0">
    <w:name w:val="lj 图表标题"/>
    <w:qFormat/>
    <w:pPr>
      <w:autoSpaceDE w:val="0"/>
      <w:autoSpaceDN w:val="0"/>
      <w:adjustRightInd w:val="0"/>
      <w:spacing w:line="360" w:lineRule="auto"/>
      <w:jc w:val="center"/>
    </w:pPr>
    <w:rPr>
      <w:rFonts w:cs="宋体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黄康宁(成都经济)</dc:creator>
  <cp:lastModifiedBy>Administrator</cp:lastModifiedBy>
  <cp:revision>34</cp:revision>
  <cp:lastPrinted>2019-12-30T02:49:00Z</cp:lastPrinted>
  <dcterms:created xsi:type="dcterms:W3CDTF">2018-04-16T06:26:00Z</dcterms:created>
  <dcterms:modified xsi:type="dcterms:W3CDTF">2021-01-28T08:40:00Z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