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AA" w:rsidRPr="00D50597" w:rsidRDefault="000642AA" w:rsidP="000642AA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50597">
          <w:t>4.2.2</w:t>
        </w:r>
      </w:smartTag>
      <w:r w:rsidRPr="00D50597">
        <w:rPr>
          <w:rFonts w:hint="eastAsia"/>
        </w:rPr>
        <w:t>场地内合理设置绿化用地。（总分</w:t>
      </w:r>
      <w:r w:rsidRPr="00D50597">
        <w:t>9</w:t>
      </w:r>
      <w:r w:rsidRPr="00D50597">
        <w:rPr>
          <w:rFonts w:hint="eastAsia"/>
        </w:rPr>
        <w:t>分）</w:t>
      </w:r>
    </w:p>
    <w:p w:rsidR="000642AA" w:rsidRDefault="000642AA" w:rsidP="000642AA"/>
    <w:p w:rsidR="000642AA" w:rsidRDefault="000642AA" w:rsidP="000642AA">
      <w:pPr>
        <w:spacing w:line="288" w:lineRule="auto"/>
        <w:rPr>
          <w:b/>
          <w:kern w:val="0"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）得分自评</w:t>
      </w:r>
    </w:p>
    <w:p w:rsidR="000642AA" w:rsidRDefault="000642AA" w:rsidP="000642AA">
      <w:pPr>
        <w:spacing w:line="288" w:lineRule="auto"/>
        <w:rPr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b/>
          <w:bCs/>
          <w:szCs w:val="21"/>
          <w:lang w:val="zh-CN"/>
        </w:rPr>
        <w:t xml:space="preserve"> </w:t>
      </w:r>
      <w:r>
        <w:rPr>
          <w:rFonts w:hint="eastAsia"/>
          <w:kern w:val="0"/>
          <w:szCs w:val="21"/>
        </w:rPr>
        <w:t>居住建筑</w:t>
      </w:r>
    </w:p>
    <w:tbl>
      <w:tblPr>
        <w:tblW w:w="7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2376"/>
        <w:gridCol w:w="2126"/>
        <w:gridCol w:w="1134"/>
        <w:gridCol w:w="937"/>
      </w:tblGrid>
      <w:tr w:rsidR="000642AA" w:rsidTr="00E15EF3">
        <w:trPr>
          <w:trHeight w:val="634"/>
        </w:trPr>
        <w:tc>
          <w:tcPr>
            <w:tcW w:w="5779" w:type="dxa"/>
            <w:gridSpan w:val="3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134" w:type="dxa"/>
            <w:vMerge w:val="restart"/>
            <w:vAlign w:val="center"/>
          </w:tcPr>
          <w:p w:rsidR="000642AA" w:rsidRDefault="000642AA" w:rsidP="00E15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937" w:type="dxa"/>
            <w:vMerge w:val="restart"/>
            <w:vAlign w:val="center"/>
          </w:tcPr>
          <w:p w:rsidR="000642AA" w:rsidRDefault="000642AA" w:rsidP="00E15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0642AA" w:rsidTr="00E15EF3">
        <w:tc>
          <w:tcPr>
            <w:tcW w:w="1277" w:type="dxa"/>
            <w:vMerge w:val="restart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住区人均公共绿地面积</w:t>
            </w:r>
            <w:r>
              <w:rPr>
                <w:bCs/>
                <w:i/>
                <w:sz w:val="21"/>
                <w:szCs w:val="21"/>
              </w:rPr>
              <w:t>Ag</w:t>
            </w:r>
          </w:p>
        </w:tc>
        <w:tc>
          <w:tcPr>
            <w:tcW w:w="237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旧区改建</w:t>
            </w:r>
          </w:p>
        </w:tc>
        <w:tc>
          <w:tcPr>
            <w:tcW w:w="1134" w:type="dxa"/>
            <w:vMerge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937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7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1.0m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3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1.3m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212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7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0.7m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9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0.9m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34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937" w:type="dxa"/>
            <w:vMerge w:val="restart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7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3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1.3m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1.5m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212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9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0.9m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1.0m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34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937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7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1.5m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212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2"/>
              </w:smartTagPr>
              <w:r>
                <w:rPr>
                  <w:bCs/>
                  <w:sz w:val="21"/>
                  <w:szCs w:val="21"/>
                </w:rPr>
                <w:t>1.0m</w:t>
              </w:r>
              <w:r>
                <w:rPr>
                  <w:bCs/>
                  <w:sz w:val="21"/>
                  <w:szCs w:val="21"/>
                  <w:vertAlign w:val="superscript"/>
                </w:rPr>
                <w:t>2</w:t>
              </w:r>
            </w:smartTag>
          </w:p>
        </w:tc>
        <w:tc>
          <w:tcPr>
            <w:tcW w:w="1134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937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7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住区绿地率</w:t>
            </w:r>
          </w:p>
        </w:tc>
        <w:tc>
          <w:tcPr>
            <w:tcW w:w="237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30%</w:t>
            </w:r>
          </w:p>
        </w:tc>
        <w:tc>
          <w:tcPr>
            <w:tcW w:w="212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25%</w:t>
            </w:r>
          </w:p>
        </w:tc>
        <w:tc>
          <w:tcPr>
            <w:tcW w:w="1134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937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7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937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0642AA" w:rsidRDefault="000642AA" w:rsidP="000642AA">
      <w:pPr>
        <w:spacing w:line="288" w:lineRule="auto"/>
        <w:rPr>
          <w:b/>
          <w:bCs/>
          <w:szCs w:val="21"/>
          <w:lang w:val="zh-CN"/>
        </w:rPr>
      </w:pPr>
    </w:p>
    <w:p w:rsidR="000642AA" w:rsidRDefault="000642AA" w:rsidP="000642AA">
      <w:pPr>
        <w:spacing w:line="288" w:lineRule="auto"/>
        <w:rPr>
          <w:b/>
          <w:sz w:val="18"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</w:rPr>
        <w:t>公共建筑</w:t>
      </w:r>
    </w:p>
    <w:tbl>
      <w:tblPr>
        <w:tblW w:w="7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2799"/>
        <w:gridCol w:w="1879"/>
        <w:gridCol w:w="1893"/>
      </w:tblGrid>
      <w:tr w:rsidR="000642AA" w:rsidTr="00E15EF3">
        <w:trPr>
          <w:trHeight w:val="608"/>
        </w:trPr>
        <w:tc>
          <w:tcPr>
            <w:tcW w:w="4077" w:type="dxa"/>
            <w:gridSpan w:val="2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879" w:type="dxa"/>
            <w:vAlign w:val="center"/>
          </w:tcPr>
          <w:p w:rsidR="000642AA" w:rsidRDefault="000642AA" w:rsidP="00E15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1893" w:type="dxa"/>
            <w:vAlign w:val="center"/>
          </w:tcPr>
          <w:p w:rsidR="000642AA" w:rsidRDefault="000642AA" w:rsidP="00E15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0642AA" w:rsidTr="00E15EF3">
        <w:tc>
          <w:tcPr>
            <w:tcW w:w="1278" w:type="dxa"/>
            <w:vMerge w:val="restart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绿地率</w:t>
            </w:r>
            <w:proofErr w:type="spellStart"/>
            <w:r>
              <w:rPr>
                <w:bCs/>
                <w:i/>
                <w:sz w:val="21"/>
                <w:szCs w:val="21"/>
              </w:rPr>
              <w:t>Rg</w:t>
            </w:r>
            <w:proofErr w:type="spellEnd"/>
          </w:p>
        </w:tc>
        <w:tc>
          <w:tcPr>
            <w:tcW w:w="279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30%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≤</w:t>
            </w:r>
            <w:proofErr w:type="spellStart"/>
            <w:r>
              <w:rPr>
                <w:bCs/>
                <w:i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35%</w:t>
            </w:r>
          </w:p>
        </w:tc>
        <w:tc>
          <w:tcPr>
            <w:tcW w:w="187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893" w:type="dxa"/>
            <w:vMerge w:val="restart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8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35%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≤</w:t>
            </w:r>
            <w:proofErr w:type="spellStart"/>
            <w:r>
              <w:rPr>
                <w:bCs/>
                <w:i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40%</w:t>
            </w:r>
          </w:p>
        </w:tc>
        <w:tc>
          <w:tcPr>
            <w:tcW w:w="187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893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8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proofErr w:type="spellStart"/>
            <w:r>
              <w:rPr>
                <w:bCs/>
                <w:i/>
                <w:sz w:val="21"/>
                <w:szCs w:val="21"/>
              </w:rPr>
              <w:t>Rg</w:t>
            </w:r>
            <w:proofErr w:type="spellEnd"/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40%</w:t>
            </w:r>
          </w:p>
        </w:tc>
        <w:tc>
          <w:tcPr>
            <w:tcW w:w="187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893" w:type="dxa"/>
            <w:vMerge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4077" w:type="dxa"/>
            <w:gridSpan w:val="2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绿地向社会公众开放</w:t>
            </w:r>
          </w:p>
        </w:tc>
        <w:tc>
          <w:tcPr>
            <w:tcW w:w="187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893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0642AA" w:rsidTr="00E15EF3">
        <w:tc>
          <w:tcPr>
            <w:tcW w:w="1278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879" w:type="dxa"/>
            <w:vAlign w:val="center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893" w:type="dxa"/>
          </w:tcPr>
          <w:p w:rsidR="000642AA" w:rsidRDefault="000642AA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0642AA" w:rsidRDefault="000642AA" w:rsidP="000642AA">
      <w:pPr>
        <w:spacing w:line="288" w:lineRule="auto"/>
        <w:rPr>
          <w:rFonts w:eastAsia="仿宋_GB2312"/>
          <w:sz w:val="24"/>
          <w:szCs w:val="30"/>
        </w:rPr>
      </w:pPr>
    </w:p>
    <w:p w:rsidR="000642AA" w:rsidRDefault="000642AA" w:rsidP="000642AA">
      <w:pPr>
        <w:spacing w:line="288" w:lineRule="auto"/>
        <w:rPr>
          <w:rFonts w:eastAsia="仿宋_GB2312"/>
          <w:sz w:val="30"/>
          <w:szCs w:val="30"/>
        </w:rPr>
      </w:pPr>
      <w:r>
        <w:rPr>
          <w:rFonts w:eastAsia="仿宋_GB2312"/>
          <w:b/>
          <w:sz w:val="24"/>
          <w:szCs w:val="30"/>
        </w:rPr>
        <w:t xml:space="preserve">2) </w:t>
      </w:r>
      <w:r>
        <w:rPr>
          <w:rFonts w:hint="eastAsia"/>
          <w:b/>
          <w:kern w:val="0"/>
          <w:sz w:val="24"/>
        </w:rPr>
        <w:t>评价要点</w:t>
      </w:r>
    </w:p>
    <w:p w:rsidR="000642AA" w:rsidRDefault="000642AA" w:rsidP="000642AA">
      <w:pPr>
        <w:spacing w:line="288" w:lineRule="auto"/>
        <w:rPr>
          <w:b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szCs w:val="21"/>
          <w:lang w:val="zh-CN"/>
        </w:rPr>
        <w:t>居住建筑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住区绿地面积：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 w:rsidRPr="00D1511F">
        <w:rPr>
          <w:rFonts w:hint="eastAsia"/>
          <w:szCs w:val="21"/>
          <w:lang w:val="zh-CN"/>
        </w:rPr>
        <w:t xml:space="preserve">  </w:t>
      </w:r>
      <w:r>
        <w:rPr>
          <w:rFonts w:hint="eastAsia"/>
          <w:szCs w:val="21"/>
          <w:lang w:val="zh-CN"/>
        </w:rPr>
        <w:t>住区用地面积：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住区绿地率：</w:t>
      </w:r>
      <w:r>
        <w:rPr>
          <w:szCs w:val="21"/>
          <w:u w:val="single"/>
          <w:lang w:val="zh-CN"/>
        </w:rPr>
        <w:t xml:space="preserve">            (%)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住区总公共绿地面积：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 w:rsidRPr="00D1511F">
        <w:rPr>
          <w:rFonts w:hint="eastAsia"/>
          <w:szCs w:val="21"/>
          <w:lang w:val="zh-CN"/>
        </w:rPr>
        <w:t xml:space="preserve">  </w:t>
      </w:r>
      <w:r>
        <w:rPr>
          <w:rFonts w:hint="eastAsia"/>
          <w:szCs w:val="21"/>
          <w:lang w:val="zh-CN"/>
        </w:rPr>
        <w:t>人均公共绿地面积：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:rsidR="000642AA" w:rsidRDefault="000642AA" w:rsidP="000642AA">
      <w:pPr>
        <w:spacing w:line="288" w:lineRule="auto"/>
        <w:rPr>
          <w:rFonts w:ascii="宋体"/>
          <w:b/>
          <w:bCs/>
          <w:szCs w:val="21"/>
          <w:lang w:val="zh-CN"/>
        </w:rPr>
      </w:pPr>
    </w:p>
    <w:p w:rsidR="000642AA" w:rsidRDefault="000642AA" w:rsidP="000642AA">
      <w:pPr>
        <w:spacing w:line="288" w:lineRule="auto"/>
        <w:rPr>
          <w:b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szCs w:val="21"/>
          <w:lang w:val="zh-CN"/>
        </w:rPr>
        <w:t>公共建筑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项目绿地面积：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 w:rsidRPr="00D1511F">
        <w:rPr>
          <w:rFonts w:hint="eastAsia"/>
          <w:szCs w:val="21"/>
          <w:lang w:val="zh-CN"/>
        </w:rPr>
        <w:t xml:space="preserve">  </w:t>
      </w:r>
      <w:r>
        <w:rPr>
          <w:rFonts w:hint="eastAsia"/>
          <w:szCs w:val="21"/>
          <w:lang w:val="zh-CN"/>
        </w:rPr>
        <w:t>项目用地面积：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项目绿地率：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szCs w:val="21"/>
          <w:lang w:val="zh-CN"/>
        </w:rPr>
        <w:t xml:space="preserve"> (%)</w:t>
      </w:r>
    </w:p>
    <w:p w:rsidR="000642AA" w:rsidRDefault="000642AA" w:rsidP="000642AA">
      <w:pPr>
        <w:rPr>
          <w:rFonts w:eastAsia="仿宋_GB2312"/>
          <w:sz w:val="24"/>
          <w:szCs w:val="30"/>
        </w:rPr>
      </w:pPr>
      <w:r>
        <w:rPr>
          <w:rFonts w:hint="eastAsia"/>
          <w:szCs w:val="21"/>
        </w:rPr>
        <w:t>项目绿地是否向社会公众开放：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 w:rsidRPr="004351BF">
        <w:rPr>
          <w:rFonts w:ascii="宋体" w:hint="eastAsia"/>
          <w:b/>
          <w:szCs w:val="21"/>
        </w:rPr>
        <w:t>□</w:t>
      </w:r>
      <w:r>
        <w:rPr>
          <w:rFonts w:hint="eastAsia"/>
          <w:szCs w:val="21"/>
          <w:lang w:val="zh-CN"/>
        </w:rPr>
        <w:t>否</w:t>
      </w:r>
    </w:p>
    <w:p w:rsidR="000642AA" w:rsidRDefault="000642AA" w:rsidP="000642AA">
      <w:pPr>
        <w:rPr>
          <w:rFonts w:eastAsia="仿宋_GB2312"/>
          <w:sz w:val="24"/>
          <w:szCs w:val="30"/>
        </w:rPr>
      </w:pPr>
    </w:p>
    <w:p w:rsidR="000642AA" w:rsidRDefault="000642AA" w:rsidP="000642AA">
      <w:pPr>
        <w:rPr>
          <w:rFonts w:eastAsia="仿宋_GB2312"/>
          <w:sz w:val="24"/>
          <w:szCs w:val="30"/>
        </w:rPr>
      </w:pPr>
      <w:r>
        <w:rPr>
          <w:rFonts w:eastAsia="仿宋_GB2312"/>
          <w:b/>
          <w:sz w:val="24"/>
          <w:szCs w:val="30"/>
        </w:rPr>
        <w:t>3)</w:t>
      </w:r>
      <w:r>
        <w:rPr>
          <w:rFonts w:ascii="宋体" w:hAnsi="宋体" w:hint="eastAsia"/>
          <w:b/>
          <w:sz w:val="24"/>
          <w:szCs w:val="30"/>
        </w:rPr>
        <w:t>证明材料</w:t>
      </w:r>
    </w:p>
    <w:p w:rsidR="000642AA" w:rsidRDefault="000642AA" w:rsidP="000642AA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建议提交材料及要求：</w:t>
      </w:r>
    </w:p>
    <w:p w:rsidR="000642AA" w:rsidRDefault="000642AA" w:rsidP="000642AA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居住建筑：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 w:rsidRPr="00D50597">
        <w:rPr>
          <w:rFonts w:hint="eastAsia"/>
          <w:szCs w:val="21"/>
        </w:rPr>
        <w:t>建筑总平面图</w:t>
      </w:r>
      <w:r>
        <w:rPr>
          <w:rFonts w:hint="eastAsia"/>
          <w:szCs w:val="21"/>
        </w:rPr>
        <w:t>：应体现绿地位置、面积，并包括用地面积、绿地面积、绿地率、人均公共绿地等指标技术经济指标；</w:t>
      </w:r>
    </w:p>
    <w:p w:rsidR="000642AA" w:rsidRDefault="000642AA" w:rsidP="000642AA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、建筑</w:t>
      </w:r>
      <w:r w:rsidRPr="00D50597">
        <w:rPr>
          <w:rFonts w:hint="eastAsia"/>
          <w:szCs w:val="21"/>
        </w:rPr>
        <w:t>平面日照等时线模拟图。</w:t>
      </w:r>
    </w:p>
    <w:p w:rsidR="000642AA" w:rsidRDefault="000642AA" w:rsidP="000642AA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公共建筑：</w:t>
      </w:r>
    </w:p>
    <w:p w:rsidR="000642AA" w:rsidRPr="00FD1C89" w:rsidRDefault="000642AA" w:rsidP="000642AA">
      <w:pPr>
        <w:spacing w:line="288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 w:rsidRPr="00D50597">
        <w:rPr>
          <w:rFonts w:hint="eastAsia"/>
          <w:szCs w:val="21"/>
        </w:rPr>
        <w:t>建筑总平面图</w:t>
      </w:r>
      <w:r>
        <w:rPr>
          <w:rFonts w:hint="eastAsia"/>
          <w:szCs w:val="21"/>
        </w:rPr>
        <w:t>：应体现绿地位置、面积，并包括用地面积、绿地面积、绿地率等指标技术经济指标</w:t>
      </w:r>
      <w:r w:rsidRPr="00FD1C89">
        <w:rPr>
          <w:rFonts w:hint="eastAsia"/>
          <w:szCs w:val="21"/>
        </w:rPr>
        <w:t>；</w:t>
      </w:r>
    </w:p>
    <w:p w:rsidR="000642AA" w:rsidRDefault="000642AA" w:rsidP="000642AA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2</w:t>
      </w:r>
      <w:r w:rsidRPr="00FD1C89">
        <w:rPr>
          <w:rFonts w:hint="eastAsia"/>
          <w:szCs w:val="21"/>
        </w:rPr>
        <w:t>、公共建筑绿地是否对外开放的说明</w:t>
      </w:r>
      <w:r>
        <w:rPr>
          <w:rFonts w:hint="eastAsia"/>
          <w:szCs w:val="21"/>
        </w:rPr>
        <w:t>。</w:t>
      </w:r>
    </w:p>
    <w:p w:rsidR="000642AA" w:rsidRDefault="000642AA" w:rsidP="000642AA">
      <w:pPr>
        <w:spacing w:line="288" w:lineRule="auto"/>
        <w:rPr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642AA" w:rsidTr="00E15EF3">
        <w:trPr>
          <w:cantSplit/>
          <w:trHeight w:val="1134"/>
          <w:jc w:val="center"/>
        </w:trPr>
        <w:tc>
          <w:tcPr>
            <w:tcW w:w="8522" w:type="dxa"/>
          </w:tcPr>
          <w:p w:rsidR="000642AA" w:rsidRDefault="000642AA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0642AA" w:rsidRDefault="000642AA" w:rsidP="000642AA"/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2AA"/>
    <w:rsid w:val="000642AA"/>
    <w:rsid w:val="005B48A8"/>
    <w:rsid w:val="006D2B9F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42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642A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642AA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0642AA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0642AA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0642A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2016-03-22T03:17:00Z</dcterms:created>
  <dcterms:modified xsi:type="dcterms:W3CDTF">2016-03-22T03:17:00Z</dcterms:modified>
</cp:coreProperties>
</file>