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974" w:rsidRDefault="00965974" w:rsidP="00965974">
      <w:pPr>
        <w:pStyle w:val="3"/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t>4.2.7</w:t>
        </w:r>
      </w:smartTag>
      <w:r>
        <w:rPr>
          <w:rFonts w:hint="eastAsia"/>
        </w:rPr>
        <w:t>采取措施降低热岛强度。</w:t>
      </w:r>
      <w:r w:rsidRPr="00740C78">
        <w:rPr>
          <w:rFonts w:hint="eastAsia"/>
        </w:rPr>
        <w:t>（总分</w:t>
      </w:r>
      <w:r>
        <w:t>4</w:t>
      </w:r>
      <w:r w:rsidRPr="00740C78">
        <w:rPr>
          <w:rFonts w:hint="eastAsia"/>
        </w:rPr>
        <w:t>分）</w:t>
      </w:r>
    </w:p>
    <w:p w:rsidR="00965974" w:rsidRDefault="00965974" w:rsidP="00965974"/>
    <w:p w:rsidR="00965974" w:rsidRDefault="00965974" w:rsidP="00965974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1</w:t>
      </w:r>
      <w:r>
        <w:rPr>
          <w:rFonts w:hint="eastAsia"/>
          <w:b/>
          <w:bCs/>
          <w:lang w:val="zh-CN"/>
        </w:rPr>
        <w:t>）得分自评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6"/>
        <w:gridCol w:w="2904"/>
        <w:gridCol w:w="2904"/>
        <w:gridCol w:w="1028"/>
        <w:gridCol w:w="1060"/>
      </w:tblGrid>
      <w:tr w:rsidR="00965974" w:rsidTr="00E15EF3">
        <w:tc>
          <w:tcPr>
            <w:tcW w:w="626" w:type="dxa"/>
            <w:vAlign w:val="center"/>
          </w:tcPr>
          <w:p w:rsidR="00965974" w:rsidRDefault="00965974" w:rsidP="00E15EF3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rFonts w:hint="eastAsia"/>
                <w:b/>
                <w:bCs/>
                <w:lang w:val="zh-CN"/>
              </w:rPr>
              <w:t>序号</w:t>
            </w:r>
          </w:p>
        </w:tc>
        <w:tc>
          <w:tcPr>
            <w:tcW w:w="5808" w:type="dxa"/>
            <w:gridSpan w:val="2"/>
            <w:vAlign w:val="center"/>
          </w:tcPr>
          <w:p w:rsidR="00965974" w:rsidRDefault="00965974" w:rsidP="00E15EF3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rFonts w:hint="eastAsia"/>
                <w:b/>
                <w:bCs/>
                <w:lang w:val="zh-CN"/>
              </w:rPr>
              <w:t>评价内容</w:t>
            </w:r>
          </w:p>
        </w:tc>
        <w:tc>
          <w:tcPr>
            <w:tcW w:w="1028" w:type="dxa"/>
            <w:vAlign w:val="center"/>
          </w:tcPr>
          <w:p w:rsidR="00965974" w:rsidRDefault="00965974" w:rsidP="00E15EF3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rFonts w:hint="eastAsia"/>
                <w:b/>
                <w:bCs/>
                <w:lang w:val="zh-CN"/>
              </w:rPr>
              <w:t>评价分值（分）</w:t>
            </w:r>
          </w:p>
        </w:tc>
        <w:tc>
          <w:tcPr>
            <w:tcW w:w="1060" w:type="dxa"/>
            <w:vAlign w:val="center"/>
          </w:tcPr>
          <w:p w:rsidR="00965974" w:rsidRDefault="00965974" w:rsidP="00E15EF3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rFonts w:hint="eastAsia"/>
                <w:b/>
                <w:bCs/>
                <w:lang w:val="zh-CN"/>
              </w:rPr>
              <w:t>自评得分（分）</w:t>
            </w:r>
          </w:p>
        </w:tc>
      </w:tr>
      <w:tr w:rsidR="00965974" w:rsidTr="00E15EF3">
        <w:trPr>
          <w:trHeight w:val="331"/>
        </w:trPr>
        <w:tc>
          <w:tcPr>
            <w:tcW w:w="626" w:type="dxa"/>
            <w:vMerge w:val="restart"/>
            <w:vAlign w:val="center"/>
          </w:tcPr>
          <w:p w:rsidR="00965974" w:rsidRDefault="00965974" w:rsidP="00E15EF3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1</w:t>
            </w:r>
          </w:p>
        </w:tc>
        <w:tc>
          <w:tcPr>
            <w:tcW w:w="2904" w:type="dxa"/>
            <w:vMerge w:val="restart"/>
          </w:tcPr>
          <w:p w:rsidR="00965974" w:rsidRDefault="00965974" w:rsidP="00E15EF3">
            <w:pPr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红线范围内户外活动场地有乔木、构筑物遮荫措施的面积比</w:t>
            </w:r>
          </w:p>
        </w:tc>
        <w:tc>
          <w:tcPr>
            <w:tcW w:w="2904" w:type="dxa"/>
            <w:vAlign w:val="center"/>
          </w:tcPr>
          <w:p w:rsidR="00965974" w:rsidRDefault="00965974" w:rsidP="00E15EF3">
            <w:pPr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达到</w:t>
            </w:r>
            <w:r>
              <w:rPr>
                <w:kern w:val="0"/>
                <w:sz w:val="18"/>
                <w:szCs w:val="18"/>
              </w:rPr>
              <w:t>10%</w:t>
            </w:r>
          </w:p>
        </w:tc>
        <w:tc>
          <w:tcPr>
            <w:tcW w:w="1028" w:type="dxa"/>
            <w:vAlign w:val="center"/>
          </w:tcPr>
          <w:p w:rsidR="00965974" w:rsidRDefault="00965974" w:rsidP="00E15EF3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bCs/>
                <w:sz w:val="18"/>
                <w:szCs w:val="18"/>
                <w:lang w:val="zh-CN"/>
              </w:rPr>
              <w:t>1</w:t>
            </w:r>
          </w:p>
        </w:tc>
        <w:tc>
          <w:tcPr>
            <w:tcW w:w="1060" w:type="dxa"/>
          </w:tcPr>
          <w:p w:rsidR="00965974" w:rsidRDefault="00965974" w:rsidP="00E15EF3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</w:tr>
      <w:tr w:rsidR="00965974" w:rsidTr="00E15EF3">
        <w:trPr>
          <w:trHeight w:val="223"/>
        </w:trPr>
        <w:tc>
          <w:tcPr>
            <w:tcW w:w="626" w:type="dxa"/>
            <w:vMerge/>
            <w:vAlign w:val="center"/>
          </w:tcPr>
          <w:p w:rsidR="00965974" w:rsidRDefault="00965974" w:rsidP="00E15EF3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  <w:tc>
          <w:tcPr>
            <w:tcW w:w="2904" w:type="dxa"/>
            <w:vMerge/>
          </w:tcPr>
          <w:p w:rsidR="00965974" w:rsidRDefault="00965974" w:rsidP="00E15EF3">
            <w:pPr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904" w:type="dxa"/>
            <w:vAlign w:val="center"/>
          </w:tcPr>
          <w:p w:rsidR="00965974" w:rsidRDefault="00965974" w:rsidP="00E15EF3">
            <w:pPr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达到</w:t>
            </w:r>
            <w:r>
              <w:rPr>
                <w:kern w:val="0"/>
                <w:sz w:val="18"/>
                <w:szCs w:val="18"/>
              </w:rPr>
              <w:t>20%</w:t>
            </w:r>
          </w:p>
        </w:tc>
        <w:tc>
          <w:tcPr>
            <w:tcW w:w="1028" w:type="dxa"/>
            <w:vAlign w:val="center"/>
          </w:tcPr>
          <w:p w:rsidR="00965974" w:rsidRDefault="00965974" w:rsidP="00E15EF3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bCs/>
                <w:sz w:val="18"/>
                <w:szCs w:val="18"/>
                <w:lang w:val="zh-CN"/>
              </w:rPr>
              <w:t>2</w:t>
            </w:r>
          </w:p>
        </w:tc>
        <w:tc>
          <w:tcPr>
            <w:tcW w:w="1060" w:type="dxa"/>
          </w:tcPr>
          <w:p w:rsidR="00965974" w:rsidRDefault="00965974" w:rsidP="00E15EF3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</w:tr>
      <w:tr w:rsidR="00965974" w:rsidTr="00E15EF3">
        <w:trPr>
          <w:trHeight w:val="314"/>
        </w:trPr>
        <w:tc>
          <w:tcPr>
            <w:tcW w:w="626" w:type="dxa"/>
            <w:vAlign w:val="center"/>
          </w:tcPr>
          <w:p w:rsidR="00965974" w:rsidRDefault="00965974" w:rsidP="00E15EF3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2</w:t>
            </w:r>
          </w:p>
        </w:tc>
        <w:tc>
          <w:tcPr>
            <w:tcW w:w="5808" w:type="dxa"/>
            <w:gridSpan w:val="2"/>
          </w:tcPr>
          <w:p w:rsidR="00965974" w:rsidRDefault="00965974" w:rsidP="00E15EF3">
            <w:pPr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超过</w:t>
            </w:r>
            <w:r>
              <w:rPr>
                <w:kern w:val="0"/>
                <w:sz w:val="18"/>
                <w:szCs w:val="18"/>
              </w:rPr>
              <w:t>70%</w:t>
            </w:r>
            <w:r>
              <w:rPr>
                <w:rFonts w:hint="eastAsia"/>
                <w:kern w:val="0"/>
                <w:sz w:val="18"/>
                <w:szCs w:val="18"/>
              </w:rPr>
              <w:t>的道路路面、建筑屋面的太阳辐射反射系数不低于</w:t>
            </w:r>
            <w:r>
              <w:rPr>
                <w:kern w:val="0"/>
                <w:sz w:val="18"/>
                <w:szCs w:val="18"/>
              </w:rPr>
              <w:t>0.4</w:t>
            </w:r>
            <w:r>
              <w:rPr>
                <w:rFonts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1028" w:type="dxa"/>
            <w:vAlign w:val="center"/>
          </w:tcPr>
          <w:p w:rsidR="00965974" w:rsidRDefault="00965974" w:rsidP="00E15EF3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bCs/>
                <w:sz w:val="18"/>
                <w:szCs w:val="18"/>
                <w:lang w:val="zh-CN"/>
              </w:rPr>
              <w:t>2</w:t>
            </w:r>
          </w:p>
        </w:tc>
        <w:tc>
          <w:tcPr>
            <w:tcW w:w="1060" w:type="dxa"/>
          </w:tcPr>
          <w:p w:rsidR="00965974" w:rsidRDefault="00965974" w:rsidP="00E15EF3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</w:tr>
      <w:tr w:rsidR="00965974" w:rsidTr="00E15EF3">
        <w:trPr>
          <w:trHeight w:val="314"/>
        </w:trPr>
        <w:tc>
          <w:tcPr>
            <w:tcW w:w="626" w:type="dxa"/>
          </w:tcPr>
          <w:p w:rsidR="00965974" w:rsidRDefault="00965974" w:rsidP="00E15EF3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5808" w:type="dxa"/>
            <w:gridSpan w:val="2"/>
          </w:tcPr>
          <w:p w:rsidR="00965974" w:rsidRDefault="00965974" w:rsidP="00E15EF3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合计</w:t>
            </w:r>
          </w:p>
        </w:tc>
        <w:tc>
          <w:tcPr>
            <w:tcW w:w="1028" w:type="dxa"/>
            <w:vAlign w:val="center"/>
          </w:tcPr>
          <w:p w:rsidR="00965974" w:rsidRDefault="00965974" w:rsidP="00E15EF3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bCs/>
                <w:sz w:val="18"/>
                <w:szCs w:val="18"/>
                <w:lang w:val="zh-CN"/>
              </w:rPr>
              <w:t>4</w:t>
            </w:r>
          </w:p>
        </w:tc>
        <w:tc>
          <w:tcPr>
            <w:tcW w:w="1060" w:type="dxa"/>
          </w:tcPr>
          <w:p w:rsidR="00965974" w:rsidRDefault="00965974" w:rsidP="00E15EF3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</w:tr>
    </w:tbl>
    <w:p w:rsidR="00965974" w:rsidRDefault="00965974" w:rsidP="00965974">
      <w:pPr>
        <w:spacing w:line="288" w:lineRule="auto"/>
      </w:pPr>
    </w:p>
    <w:p w:rsidR="00965974" w:rsidRDefault="00965974" w:rsidP="00965974">
      <w:pPr>
        <w:spacing w:line="288" w:lineRule="auto"/>
        <w:rPr>
          <w:b/>
          <w:bCs/>
          <w:szCs w:val="21"/>
          <w:lang w:val="zh-CN"/>
        </w:rPr>
      </w:pPr>
      <w:r>
        <w:rPr>
          <w:b/>
          <w:bCs/>
          <w:lang w:val="zh-CN"/>
        </w:rPr>
        <w:t>2</w:t>
      </w:r>
      <w:r>
        <w:rPr>
          <w:rFonts w:hint="eastAsia"/>
          <w:b/>
          <w:bCs/>
          <w:lang w:val="zh-CN"/>
        </w:rPr>
        <w:t>）评价要点</w:t>
      </w:r>
    </w:p>
    <w:p w:rsidR="00965974" w:rsidRDefault="00965974" w:rsidP="00965974">
      <w:pPr>
        <w:spacing w:line="288" w:lineRule="auto"/>
        <w:rPr>
          <w:szCs w:val="21"/>
        </w:rPr>
      </w:pPr>
      <w:r>
        <w:rPr>
          <w:rFonts w:hint="eastAsia"/>
          <w:szCs w:val="21"/>
        </w:rPr>
        <w:t>红线范围内户外活动场地内的遮荫措施有：</w:t>
      </w: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hint="eastAsia"/>
          <w:kern w:val="0"/>
          <w:szCs w:val="21"/>
        </w:rPr>
        <w:t>乔木、</w:t>
      </w: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hint="eastAsia"/>
          <w:kern w:val="0"/>
          <w:szCs w:val="21"/>
        </w:rPr>
        <w:t>构筑物（构筑物类型：）</w:t>
      </w:r>
      <w:r>
        <w:rPr>
          <w:rFonts w:hint="eastAsia"/>
        </w:rPr>
        <w:t>、</w:t>
      </w: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hint="eastAsia"/>
        </w:rPr>
        <w:t>以上皆无。</w:t>
      </w:r>
    </w:p>
    <w:p w:rsidR="00965974" w:rsidRDefault="00965974" w:rsidP="00965974">
      <w:pPr>
        <w:spacing w:line="288" w:lineRule="auto"/>
      </w:pPr>
      <w:r>
        <w:rPr>
          <w:rFonts w:hint="eastAsia"/>
        </w:rPr>
        <w:t>场地内遮荫措施统计：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53"/>
        <w:gridCol w:w="1276"/>
        <w:gridCol w:w="1893"/>
      </w:tblGrid>
      <w:tr w:rsidR="00965974" w:rsidTr="00E15EF3">
        <w:tc>
          <w:tcPr>
            <w:tcW w:w="5353" w:type="dxa"/>
          </w:tcPr>
          <w:p w:rsidR="00965974" w:rsidRDefault="00965974" w:rsidP="00E15EF3">
            <w:pPr>
              <w:jc w:val="center"/>
            </w:pPr>
            <w:r>
              <w:rPr>
                <w:rFonts w:hint="eastAsia"/>
              </w:rPr>
              <w:t>项目</w:t>
            </w:r>
          </w:p>
        </w:tc>
        <w:tc>
          <w:tcPr>
            <w:tcW w:w="1276" w:type="dxa"/>
          </w:tcPr>
          <w:p w:rsidR="00965974" w:rsidRDefault="00965974" w:rsidP="00E15EF3">
            <w:pPr>
              <w:jc w:val="center"/>
              <w:rPr>
                <w:u w:val="single"/>
              </w:rPr>
            </w:pPr>
            <w:r>
              <w:rPr>
                <w:rFonts w:hint="eastAsia"/>
              </w:rPr>
              <w:t>数值</w:t>
            </w:r>
          </w:p>
        </w:tc>
        <w:tc>
          <w:tcPr>
            <w:tcW w:w="1893" w:type="dxa"/>
          </w:tcPr>
          <w:p w:rsidR="00965974" w:rsidRDefault="00965974" w:rsidP="00E15EF3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</w:tr>
      <w:tr w:rsidR="00965974" w:rsidTr="00E15EF3">
        <w:tc>
          <w:tcPr>
            <w:tcW w:w="5353" w:type="dxa"/>
          </w:tcPr>
          <w:p w:rsidR="00965974" w:rsidRDefault="00965974" w:rsidP="00E15EF3">
            <w:pPr>
              <w:rPr>
                <w:u w:val="single"/>
              </w:rPr>
            </w:pPr>
            <w:r>
              <w:rPr>
                <w:rFonts w:hint="eastAsia"/>
              </w:rPr>
              <w:t>红线范围内户外活动场地面积</w:t>
            </w:r>
          </w:p>
        </w:tc>
        <w:tc>
          <w:tcPr>
            <w:tcW w:w="1276" w:type="dxa"/>
          </w:tcPr>
          <w:p w:rsidR="00965974" w:rsidRPr="009117A5" w:rsidRDefault="00965974" w:rsidP="00E15EF3">
            <w:pPr>
              <w:jc w:val="center"/>
            </w:pPr>
          </w:p>
        </w:tc>
        <w:tc>
          <w:tcPr>
            <w:tcW w:w="1893" w:type="dxa"/>
          </w:tcPr>
          <w:p w:rsidR="00965974" w:rsidRDefault="00965974" w:rsidP="00E15EF3">
            <w:pPr>
              <w:jc w:val="center"/>
              <w:rPr>
                <w:u w:val="single"/>
              </w:rPr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965974" w:rsidTr="00E15EF3">
        <w:tc>
          <w:tcPr>
            <w:tcW w:w="5353" w:type="dxa"/>
          </w:tcPr>
          <w:p w:rsidR="00965974" w:rsidRDefault="00965974" w:rsidP="00E15EF3">
            <w:pPr>
              <w:rPr>
                <w:u w:val="single"/>
              </w:rPr>
            </w:pPr>
            <w:r>
              <w:rPr>
                <w:rFonts w:hint="eastAsia"/>
              </w:rPr>
              <w:t>线范围内户外活动场地内乔木遮荫措施的面积</w:t>
            </w:r>
          </w:p>
        </w:tc>
        <w:tc>
          <w:tcPr>
            <w:tcW w:w="1276" w:type="dxa"/>
            <w:vAlign w:val="center"/>
          </w:tcPr>
          <w:p w:rsidR="00965974" w:rsidRPr="00152382" w:rsidRDefault="00965974" w:rsidP="00E15EF3">
            <w:pPr>
              <w:jc w:val="center"/>
            </w:pPr>
          </w:p>
        </w:tc>
        <w:tc>
          <w:tcPr>
            <w:tcW w:w="1893" w:type="dxa"/>
          </w:tcPr>
          <w:p w:rsidR="00965974" w:rsidRDefault="00965974" w:rsidP="00E15EF3">
            <w:pPr>
              <w:jc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965974" w:rsidTr="00E15EF3">
        <w:tc>
          <w:tcPr>
            <w:tcW w:w="5353" w:type="dxa"/>
          </w:tcPr>
          <w:p w:rsidR="00965974" w:rsidRDefault="00965974" w:rsidP="00E15EF3">
            <w:r>
              <w:rPr>
                <w:rFonts w:hint="eastAsia"/>
              </w:rPr>
              <w:t>线范围内户外活动场地构筑物遮荫措施的面积</w:t>
            </w:r>
          </w:p>
        </w:tc>
        <w:tc>
          <w:tcPr>
            <w:tcW w:w="1276" w:type="dxa"/>
          </w:tcPr>
          <w:p w:rsidR="00965974" w:rsidRPr="009117A5" w:rsidRDefault="00965974" w:rsidP="00E15EF3">
            <w:pPr>
              <w:jc w:val="center"/>
            </w:pPr>
          </w:p>
        </w:tc>
        <w:tc>
          <w:tcPr>
            <w:tcW w:w="1893" w:type="dxa"/>
          </w:tcPr>
          <w:p w:rsidR="00965974" w:rsidRDefault="00965974" w:rsidP="00E15EF3">
            <w:pPr>
              <w:jc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965974" w:rsidTr="00E15EF3">
        <w:tc>
          <w:tcPr>
            <w:tcW w:w="5353" w:type="dxa"/>
          </w:tcPr>
          <w:p w:rsidR="00965974" w:rsidRDefault="00965974" w:rsidP="00E15EF3">
            <w:r>
              <w:rPr>
                <w:rFonts w:hint="eastAsia"/>
              </w:rPr>
              <w:t>红线范围内户外活动场地内有乔木、构筑物遮荫措施的面积比例</w:t>
            </w:r>
          </w:p>
        </w:tc>
        <w:tc>
          <w:tcPr>
            <w:tcW w:w="1276" w:type="dxa"/>
            <w:vAlign w:val="center"/>
          </w:tcPr>
          <w:p w:rsidR="00965974" w:rsidRPr="009117A5" w:rsidRDefault="00965974" w:rsidP="00E15EF3">
            <w:pPr>
              <w:jc w:val="center"/>
            </w:pPr>
          </w:p>
        </w:tc>
        <w:tc>
          <w:tcPr>
            <w:tcW w:w="1893" w:type="dxa"/>
            <w:vAlign w:val="center"/>
          </w:tcPr>
          <w:p w:rsidR="00965974" w:rsidRDefault="00965974" w:rsidP="00E15EF3">
            <w:pPr>
              <w:jc w:val="center"/>
            </w:pPr>
            <w:r>
              <w:t>%</w:t>
            </w:r>
          </w:p>
        </w:tc>
      </w:tr>
    </w:tbl>
    <w:p w:rsidR="00965974" w:rsidRDefault="00965974" w:rsidP="00965974">
      <w:pPr>
        <w:spacing w:line="288" w:lineRule="auto"/>
        <w:rPr>
          <w:u w:val="single"/>
        </w:rPr>
      </w:pPr>
    </w:p>
    <w:p w:rsidR="00965974" w:rsidRDefault="00965974" w:rsidP="00965974">
      <w:pPr>
        <w:spacing w:line="288" w:lineRule="auto"/>
      </w:pPr>
      <w:r>
        <w:rPr>
          <w:rFonts w:hint="eastAsia"/>
        </w:rPr>
        <w:t>道路路面、屋面太阳辐射反射系数统计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85"/>
        <w:gridCol w:w="2596"/>
        <w:gridCol w:w="2841"/>
      </w:tblGrid>
      <w:tr w:rsidR="00965974" w:rsidTr="00E15EF3">
        <w:tc>
          <w:tcPr>
            <w:tcW w:w="3085" w:type="dxa"/>
          </w:tcPr>
          <w:p w:rsidR="00965974" w:rsidRDefault="00965974" w:rsidP="00E15EF3">
            <w:pPr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</w:t>
            </w:r>
          </w:p>
        </w:tc>
        <w:tc>
          <w:tcPr>
            <w:tcW w:w="2596" w:type="dxa"/>
          </w:tcPr>
          <w:p w:rsidR="00965974" w:rsidRDefault="00965974" w:rsidP="00E15EF3">
            <w:pPr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数值</w:t>
            </w:r>
          </w:p>
        </w:tc>
        <w:tc>
          <w:tcPr>
            <w:tcW w:w="2841" w:type="dxa"/>
          </w:tcPr>
          <w:p w:rsidR="00965974" w:rsidRDefault="00965974" w:rsidP="00E15EF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</w:tc>
      </w:tr>
      <w:tr w:rsidR="00965974" w:rsidTr="00E15EF3">
        <w:tc>
          <w:tcPr>
            <w:tcW w:w="3085" w:type="dxa"/>
          </w:tcPr>
          <w:p w:rsidR="00965974" w:rsidRDefault="00965974" w:rsidP="00E15EF3">
            <w:pPr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道路路面</w:t>
            </w:r>
          </w:p>
        </w:tc>
        <w:tc>
          <w:tcPr>
            <w:tcW w:w="2596" w:type="dxa"/>
          </w:tcPr>
          <w:p w:rsidR="00965974" w:rsidRDefault="00965974" w:rsidP="00E15EF3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2841" w:type="dxa"/>
            <w:vAlign w:val="center"/>
          </w:tcPr>
          <w:p w:rsidR="00965974" w:rsidRDefault="00965974" w:rsidP="00E15EF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m</w:t>
            </w:r>
            <w:r>
              <w:rPr>
                <w:szCs w:val="21"/>
                <w:vertAlign w:val="superscript"/>
              </w:rPr>
              <w:t>2</w:t>
            </w:r>
          </w:p>
        </w:tc>
      </w:tr>
      <w:tr w:rsidR="00965974" w:rsidTr="00E15EF3">
        <w:tc>
          <w:tcPr>
            <w:tcW w:w="3085" w:type="dxa"/>
          </w:tcPr>
          <w:p w:rsidR="00965974" w:rsidRDefault="00965974" w:rsidP="00E15EF3">
            <w:pPr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建筑屋面面积</w:t>
            </w:r>
          </w:p>
        </w:tc>
        <w:tc>
          <w:tcPr>
            <w:tcW w:w="2596" w:type="dxa"/>
          </w:tcPr>
          <w:p w:rsidR="00965974" w:rsidRDefault="00965974" w:rsidP="00E15EF3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2841" w:type="dxa"/>
            <w:vAlign w:val="center"/>
          </w:tcPr>
          <w:p w:rsidR="00965974" w:rsidRDefault="00965974" w:rsidP="00E15EF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m</w:t>
            </w:r>
            <w:r>
              <w:rPr>
                <w:szCs w:val="21"/>
                <w:vertAlign w:val="superscript"/>
              </w:rPr>
              <w:t>2</w:t>
            </w:r>
          </w:p>
        </w:tc>
      </w:tr>
      <w:tr w:rsidR="00965974" w:rsidTr="00E15EF3">
        <w:tc>
          <w:tcPr>
            <w:tcW w:w="3085" w:type="dxa"/>
          </w:tcPr>
          <w:p w:rsidR="00965974" w:rsidRDefault="00965974" w:rsidP="00E15EF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太阳辐射反射系数</w:t>
            </w:r>
            <w:r>
              <w:rPr>
                <w:rFonts w:hint="eastAsia"/>
                <w:kern w:val="0"/>
                <w:szCs w:val="21"/>
              </w:rPr>
              <w:t>不低于</w:t>
            </w:r>
            <w:r>
              <w:rPr>
                <w:kern w:val="0"/>
                <w:szCs w:val="21"/>
              </w:rPr>
              <w:t>0.4</w:t>
            </w:r>
            <w:r>
              <w:rPr>
                <w:rFonts w:hint="eastAsia"/>
                <w:kern w:val="0"/>
                <w:szCs w:val="21"/>
              </w:rPr>
              <w:t>的</w:t>
            </w:r>
            <w:r>
              <w:rPr>
                <w:rFonts w:hint="eastAsia"/>
                <w:szCs w:val="21"/>
              </w:rPr>
              <w:t>道路路面、建筑屋面面积</w:t>
            </w:r>
          </w:p>
        </w:tc>
        <w:tc>
          <w:tcPr>
            <w:tcW w:w="2596" w:type="dxa"/>
          </w:tcPr>
          <w:p w:rsidR="00965974" w:rsidRDefault="00965974" w:rsidP="00E15EF3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2841" w:type="dxa"/>
            <w:vAlign w:val="center"/>
          </w:tcPr>
          <w:p w:rsidR="00965974" w:rsidRDefault="00965974" w:rsidP="00E15EF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m</w:t>
            </w:r>
            <w:r>
              <w:rPr>
                <w:szCs w:val="21"/>
                <w:vertAlign w:val="superscript"/>
              </w:rPr>
              <w:t>2</w:t>
            </w:r>
          </w:p>
        </w:tc>
      </w:tr>
      <w:tr w:rsidR="00965974" w:rsidTr="00E15EF3">
        <w:tc>
          <w:tcPr>
            <w:tcW w:w="3085" w:type="dxa"/>
          </w:tcPr>
          <w:p w:rsidR="00965974" w:rsidRDefault="00965974" w:rsidP="00E15EF3">
            <w:pPr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太阳辐射反射系数不低于</w:t>
            </w:r>
            <w:r>
              <w:rPr>
                <w:szCs w:val="21"/>
              </w:rPr>
              <w:t>0.4</w:t>
            </w:r>
            <w:r>
              <w:rPr>
                <w:rFonts w:hint="eastAsia"/>
                <w:szCs w:val="21"/>
              </w:rPr>
              <w:t>的道路路面、建筑屋面面积占道路路面及建筑屋面总面积的比例</w:t>
            </w:r>
          </w:p>
        </w:tc>
        <w:tc>
          <w:tcPr>
            <w:tcW w:w="2596" w:type="dxa"/>
          </w:tcPr>
          <w:p w:rsidR="00965974" w:rsidRDefault="00965974" w:rsidP="00E15EF3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2841" w:type="dxa"/>
            <w:vAlign w:val="center"/>
          </w:tcPr>
          <w:p w:rsidR="00965974" w:rsidRDefault="00965974" w:rsidP="00E15EF3">
            <w:pPr>
              <w:spacing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%</w:t>
            </w:r>
          </w:p>
        </w:tc>
      </w:tr>
    </w:tbl>
    <w:p w:rsidR="00965974" w:rsidRDefault="00965974" w:rsidP="00965974">
      <w:pPr>
        <w:pStyle w:val="a3"/>
        <w:spacing w:line="288" w:lineRule="auto"/>
        <w:outlineLvl w:val="9"/>
        <w:rPr>
          <w:sz w:val="21"/>
          <w:szCs w:val="21"/>
        </w:rPr>
      </w:pPr>
    </w:p>
    <w:p w:rsidR="00965974" w:rsidRDefault="00965974" w:rsidP="00965974">
      <w:pPr>
        <w:tabs>
          <w:tab w:val="left" w:pos="360"/>
        </w:tabs>
        <w:spacing w:line="288" w:lineRule="auto"/>
        <w:ind w:left="420" w:hanging="420"/>
        <w:rPr>
          <w:b/>
          <w:bCs/>
          <w:lang w:val="zh-CN"/>
        </w:rPr>
      </w:pPr>
      <w:r>
        <w:rPr>
          <w:b/>
          <w:bCs/>
          <w:lang w:val="zh-CN"/>
        </w:rPr>
        <w:t>3</w:t>
      </w:r>
      <w:r>
        <w:rPr>
          <w:rFonts w:hint="eastAsia"/>
          <w:b/>
          <w:bCs/>
          <w:lang w:val="zh-CN"/>
        </w:rPr>
        <w:t>）证明材料</w:t>
      </w:r>
    </w:p>
    <w:p w:rsidR="00965974" w:rsidRDefault="00965974" w:rsidP="00965974">
      <w:pPr>
        <w:pStyle w:val="a3"/>
        <w:spacing w:line="288" w:lineRule="auto"/>
        <w:outlineLvl w:val="9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建议提交材料及要求：</w:t>
      </w:r>
    </w:p>
    <w:p w:rsidR="00965974" w:rsidRPr="00777636" w:rsidRDefault="00965974" w:rsidP="00965974">
      <w:pPr>
        <w:spacing w:line="288" w:lineRule="auto"/>
      </w:pPr>
      <w:r w:rsidRPr="00777636">
        <w:t>1</w:t>
      </w:r>
      <w:r w:rsidRPr="00777636">
        <w:rPr>
          <w:rFonts w:hint="eastAsia"/>
        </w:rPr>
        <w:t>、景观总平面图：应体现场地内建筑、步道、庭院、广场、游憩场、地面停车场等的位置及面积；应体现场地构筑物的位置，及构筑物的数量、遮荫面积等技术经济指标；</w:t>
      </w:r>
    </w:p>
    <w:p w:rsidR="00965974" w:rsidRDefault="00965974" w:rsidP="00965974">
      <w:pPr>
        <w:spacing w:before="156" w:line="288" w:lineRule="auto"/>
      </w:pPr>
      <w:r w:rsidRPr="00777636">
        <w:t>2</w:t>
      </w:r>
      <w:r w:rsidRPr="00777636">
        <w:rPr>
          <w:rFonts w:hint="eastAsia"/>
        </w:rPr>
        <w:t>、乔木种植平面图：应体现所有乔木的名称及其所在位置；</w:t>
      </w:r>
    </w:p>
    <w:p w:rsidR="00965974" w:rsidRDefault="00965974" w:rsidP="00965974">
      <w:pPr>
        <w:spacing w:before="156" w:line="288" w:lineRule="auto"/>
      </w:pPr>
      <w:r w:rsidRPr="00777636">
        <w:t>3</w:t>
      </w:r>
      <w:r w:rsidRPr="00777636">
        <w:rPr>
          <w:rFonts w:hint="eastAsia"/>
        </w:rPr>
        <w:t>、乔木苗木表：应体现各类乔木的名称、数量、成年乔木的树冠正投影面积；</w:t>
      </w:r>
    </w:p>
    <w:p w:rsidR="00965974" w:rsidRDefault="00965974" w:rsidP="00965974">
      <w:pPr>
        <w:spacing w:before="156" w:line="288" w:lineRule="auto"/>
      </w:pPr>
      <w:r w:rsidRPr="00777636">
        <w:rPr>
          <w:rFonts w:hint="eastAsia"/>
        </w:rPr>
        <w:lastRenderedPageBreak/>
        <w:t>4</w:t>
      </w:r>
      <w:r w:rsidRPr="00777636">
        <w:rPr>
          <w:rFonts w:hint="eastAsia"/>
        </w:rPr>
        <w:t>、屋顶、场地铺装平面图：应体现各类铺装的类型、位置、太阳辐射反射系数及面积；</w:t>
      </w:r>
    </w:p>
    <w:p w:rsidR="00965974" w:rsidRDefault="00965974" w:rsidP="00965974">
      <w:pPr>
        <w:spacing w:before="156" w:line="288" w:lineRule="auto"/>
      </w:pPr>
      <w:r w:rsidRPr="00777636">
        <w:t>5</w:t>
      </w:r>
      <w:r w:rsidRPr="00777636">
        <w:rPr>
          <w:rFonts w:hint="eastAsia"/>
        </w:rPr>
        <w:t>、户外活动广场遮荫面积比例计算书：应包括乔木以及构筑物遮荫面积的详细计算；如果计算中考虑了建筑日照投影遮阴，则还需包括建筑日照投影遮阴面积的计算；</w:t>
      </w:r>
    </w:p>
    <w:p w:rsidR="00965974" w:rsidRDefault="00965974" w:rsidP="00965974">
      <w:pPr>
        <w:spacing w:before="156" w:line="288" w:lineRule="auto"/>
      </w:pPr>
      <w:r w:rsidRPr="00777636" w:rsidDel="00542196">
        <w:t>7</w:t>
      </w:r>
      <w:r w:rsidRPr="00777636">
        <w:rPr>
          <w:rFonts w:hint="eastAsia"/>
        </w:rPr>
        <w:t>6</w:t>
      </w:r>
      <w:r w:rsidRPr="00777636">
        <w:rPr>
          <w:rFonts w:hint="eastAsia"/>
        </w:rPr>
        <w:t>、太阳辐射反射系数不低于</w:t>
      </w:r>
      <w:r w:rsidRPr="00777636">
        <w:t>0.4</w:t>
      </w:r>
      <w:r w:rsidRPr="00777636">
        <w:rPr>
          <w:rFonts w:hint="eastAsia"/>
        </w:rPr>
        <w:t>的道路路面、建筑屋面面积占道路路面及建筑屋面总面积的比例计算书：应包括道路路面、建筑屋面各类铺装的类型、太阳辐射反射系数（需提供反射系数的数据来源）及面积的统计。</w:t>
      </w:r>
    </w:p>
    <w:p w:rsidR="00965974" w:rsidRDefault="00965974" w:rsidP="00965974">
      <w:pPr>
        <w:spacing w:line="288" w:lineRule="auto"/>
      </w:pPr>
      <w:r w:rsidRPr="004351BF">
        <w:rPr>
          <w:rFonts w:hint="eastAsia"/>
          <w:b/>
        </w:rPr>
        <w:t>实际提交材料：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2"/>
      </w:tblGrid>
      <w:tr w:rsidR="00965974" w:rsidTr="00E15EF3">
        <w:trPr>
          <w:trHeight w:val="1134"/>
          <w:jc w:val="center"/>
        </w:trPr>
        <w:tc>
          <w:tcPr>
            <w:tcW w:w="8522" w:type="dxa"/>
          </w:tcPr>
          <w:p w:rsidR="00965974" w:rsidRPr="00420B0F" w:rsidRDefault="00965974" w:rsidP="00E15EF3">
            <w:pPr>
              <w:spacing w:line="288" w:lineRule="auto"/>
              <w:rPr>
                <w:szCs w:val="21"/>
              </w:rPr>
            </w:pPr>
          </w:p>
        </w:tc>
      </w:tr>
    </w:tbl>
    <w:p w:rsidR="005B48A8" w:rsidRDefault="005B48A8"/>
    <w:sectPr w:rsidR="005B48A8" w:rsidSect="005B48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65974"/>
    <w:rsid w:val="005B48A8"/>
    <w:rsid w:val="006D2B9F"/>
    <w:rsid w:val="008A7F9A"/>
    <w:rsid w:val="00965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9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6597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965974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965974"/>
    <w:rPr>
      <w:rFonts w:ascii="黑体" w:eastAsia="黑体" w:hAnsi="黑体" w:cs="Times New Roman"/>
      <w:b/>
      <w:bCs/>
      <w:sz w:val="24"/>
      <w:szCs w:val="32"/>
    </w:rPr>
  </w:style>
  <w:style w:type="paragraph" w:customStyle="1" w:styleId="a3">
    <w:name w:val="条文"/>
    <w:basedOn w:val="a"/>
    <w:link w:val="Char"/>
    <w:rsid w:val="00965974"/>
    <w:pPr>
      <w:spacing w:line="300" w:lineRule="auto"/>
      <w:outlineLvl w:val="2"/>
    </w:pPr>
    <w:rPr>
      <w:sz w:val="24"/>
    </w:rPr>
  </w:style>
  <w:style w:type="character" w:customStyle="1" w:styleId="Char">
    <w:name w:val="条文 Char"/>
    <w:link w:val="a3"/>
    <w:locked/>
    <w:rsid w:val="00965974"/>
    <w:rPr>
      <w:rFonts w:ascii="Times New Roman" w:eastAsia="宋体" w:hAnsi="Times New Roman" w:cs="Times New Roman"/>
      <w:sz w:val="24"/>
      <w:szCs w:val="24"/>
    </w:rPr>
  </w:style>
  <w:style w:type="character" w:customStyle="1" w:styleId="2Char">
    <w:name w:val="标题 2 Char"/>
    <w:basedOn w:val="a0"/>
    <w:link w:val="2"/>
    <w:uiPriority w:val="9"/>
    <w:semiHidden/>
    <w:rsid w:val="00965974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p</cp:lastModifiedBy>
  <cp:revision>1</cp:revision>
  <dcterms:created xsi:type="dcterms:W3CDTF">2016-03-22T03:20:00Z</dcterms:created>
  <dcterms:modified xsi:type="dcterms:W3CDTF">2016-03-22T03:20:00Z</dcterms:modified>
</cp:coreProperties>
</file>