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67" w:rsidRDefault="00471B67" w:rsidP="00471B67">
      <w:pPr>
        <w:pStyle w:val="3"/>
      </w:pPr>
      <w:r>
        <w:rPr>
          <w:rFonts w:hint="eastAsia"/>
        </w:rPr>
        <w:t>5.2.5集中供暖系统热水循环泵的耗电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和通风空调系统风机的单位风量耗功率符合现行国家标准《公共建筑节能设计标准》GB 50189等的有关规定，且空调冷热水系统循环水泵的耗电输冷（热）比比现行国家标准《民用建筑供暖通风与空气调节设计规范》GB 50736规定值低20%。</w:t>
      </w:r>
      <w:r w:rsidRPr="00B16334">
        <w:rPr>
          <w:rFonts w:hint="eastAsia"/>
        </w:rPr>
        <w:t>（总分6分）</w:t>
      </w:r>
    </w:p>
    <w:p w:rsidR="00471B67" w:rsidRDefault="00471B67" w:rsidP="00471B67">
      <w:pPr>
        <w:adjustRightInd w:val="0"/>
        <w:snapToGrid w:val="0"/>
        <w:spacing w:line="460" w:lineRule="exact"/>
        <w:rPr>
          <w:b/>
          <w:sz w:val="24"/>
        </w:rPr>
      </w:pPr>
    </w:p>
    <w:p w:rsidR="00471B67" w:rsidRDefault="00471B67" w:rsidP="00471B67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得分自评：（非集中空调供暖系统项目</w:t>
      </w:r>
      <w:proofErr w:type="gramStart"/>
      <w:r>
        <w:rPr>
          <w:rFonts w:hint="eastAsia"/>
          <w:b/>
          <w:szCs w:val="21"/>
          <w:lang w:val="zh-CN"/>
        </w:rPr>
        <w:t>不</w:t>
      </w:r>
      <w:proofErr w:type="gramEnd"/>
      <w:r>
        <w:rPr>
          <w:rFonts w:hint="eastAsia"/>
          <w:b/>
          <w:szCs w:val="21"/>
          <w:lang w:val="zh-CN"/>
        </w:rPr>
        <w:t>参评）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8"/>
        <w:gridCol w:w="2173"/>
        <w:gridCol w:w="2171"/>
      </w:tblGrid>
      <w:tr w:rsidR="00471B67" w:rsidTr="009D46BE">
        <w:trPr>
          <w:trHeight w:val="660"/>
        </w:trPr>
        <w:tc>
          <w:tcPr>
            <w:tcW w:w="5318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自评得分（分）</w:t>
            </w:r>
          </w:p>
        </w:tc>
      </w:tr>
      <w:tr w:rsidR="00471B67" w:rsidTr="009D46BE">
        <w:trPr>
          <w:trHeight w:val="644"/>
        </w:trPr>
        <w:tc>
          <w:tcPr>
            <w:tcW w:w="5318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</w:pPr>
            <w:r>
              <w:rPr>
                <w:rFonts w:hint="eastAsia"/>
              </w:rPr>
              <w:t>供暖系统热水循环泵的耗电</w:t>
            </w:r>
            <w:proofErr w:type="gramStart"/>
            <w:r>
              <w:rPr>
                <w:rFonts w:hint="eastAsia"/>
              </w:rPr>
              <w:t>输热比</w:t>
            </w:r>
            <w:proofErr w:type="gramEnd"/>
            <w:r>
              <w:rPr>
                <w:rFonts w:hint="eastAsia"/>
              </w:rPr>
              <w:t>、通风空调系统风机的单位风量耗功率、空调冷热水系统循环水泵的耗电输冷（热）比</w:t>
            </w:r>
          </w:p>
        </w:tc>
        <w:tc>
          <w:tcPr>
            <w:tcW w:w="2173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</w:p>
        </w:tc>
      </w:tr>
      <w:tr w:rsidR="00471B67" w:rsidTr="009D46BE">
        <w:trPr>
          <w:trHeight w:val="644"/>
        </w:trPr>
        <w:tc>
          <w:tcPr>
            <w:tcW w:w="5318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73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:rsidR="00471B67" w:rsidRDefault="00471B67" w:rsidP="009D46BE">
            <w:pPr>
              <w:pStyle w:val="1"/>
              <w:ind w:firstLineChars="0" w:firstLine="0"/>
              <w:jc w:val="center"/>
            </w:pPr>
          </w:p>
        </w:tc>
      </w:tr>
    </w:tbl>
    <w:p w:rsidR="00471B67" w:rsidRDefault="00471B67" w:rsidP="00471B67">
      <w:pPr>
        <w:jc w:val="left"/>
        <w:rPr>
          <w:b/>
          <w:sz w:val="24"/>
        </w:rPr>
      </w:pPr>
    </w:p>
    <w:p w:rsidR="00471B67" w:rsidRDefault="00471B67" w:rsidP="00471B67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</w:t>
      </w:r>
      <w:r>
        <w:rPr>
          <w:rFonts w:hint="eastAsia"/>
          <w:b/>
          <w:szCs w:val="21"/>
          <w:lang w:val="zh-CN"/>
        </w:rPr>
        <w:t>:</w:t>
      </w:r>
    </w:p>
    <w:p w:rsidR="00471B67" w:rsidRDefault="00471B67" w:rsidP="00471B67">
      <w:pPr>
        <w:spacing w:line="288" w:lineRule="auto"/>
      </w:pPr>
      <w:r>
        <w:rPr>
          <w:rFonts w:hint="eastAsia"/>
        </w:rPr>
        <w:t>供暖系统热水循环泵的耗电</w:t>
      </w:r>
      <w:proofErr w:type="gramStart"/>
      <w:r>
        <w:rPr>
          <w:rFonts w:hint="eastAsia"/>
        </w:rPr>
        <w:t>输热比</w:t>
      </w:r>
      <w:proofErr w:type="gramEnd"/>
      <w:r>
        <w:rPr>
          <w:rFonts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hint="eastAsia"/>
        </w:rPr>
        <w:t>。</w:t>
      </w:r>
    </w:p>
    <w:p w:rsidR="00471B67" w:rsidRDefault="00471B67" w:rsidP="00471B67">
      <w:pPr>
        <w:spacing w:line="288" w:lineRule="auto"/>
      </w:pPr>
      <w:r>
        <w:rPr>
          <w:rFonts w:hint="eastAsia"/>
        </w:rPr>
        <w:t>通风空调系统风机单位风量耗功率：</w:t>
      </w:r>
    </w:p>
    <w:tbl>
      <w:tblPr>
        <w:tblW w:w="9639" w:type="dxa"/>
        <w:jc w:val="center"/>
        <w:tblLayout w:type="fixed"/>
        <w:tblLook w:val="0000"/>
      </w:tblPr>
      <w:tblGrid>
        <w:gridCol w:w="3213"/>
        <w:gridCol w:w="3214"/>
        <w:gridCol w:w="3212"/>
      </w:tblGrid>
      <w:tr w:rsidR="00471B67" w:rsidTr="009D46BE">
        <w:trPr>
          <w:cantSplit/>
          <w:jc w:val="center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风机的单位风量耗功率</w:t>
            </w:r>
          </w:p>
        </w:tc>
      </w:tr>
      <w:tr w:rsidR="00471B6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:rsidTr="009D46BE">
        <w:trPr>
          <w:cantSplit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</w:tbl>
    <w:p w:rsidR="00471B67" w:rsidRDefault="00471B67" w:rsidP="00471B67">
      <w:pPr>
        <w:spacing w:line="288" w:lineRule="auto"/>
      </w:pPr>
      <w:r>
        <w:rPr>
          <w:rFonts w:hint="eastAsia"/>
        </w:rPr>
        <w:t>空调冷热水系统循环水泵的耗电输冷（热）比：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1704"/>
        <w:gridCol w:w="2369"/>
        <w:gridCol w:w="1133"/>
        <w:gridCol w:w="1611"/>
      </w:tblGrid>
      <w:tr w:rsidR="00471B67" w:rsidTr="009D46BE">
        <w:trPr>
          <w:cantSplit/>
          <w:jc w:val="center"/>
        </w:trPr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139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137C46">
              <w:rPr>
                <w:rFonts w:cs="宋体" w:hint="eastAsia"/>
                <w:kern w:val="0"/>
              </w:rPr>
              <w:t>空调冷热水系统循环水泵的耗电输冷（热）比</w:t>
            </w:r>
          </w:p>
        </w:tc>
        <w:tc>
          <w:tcPr>
            <w:tcW w:w="665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</w:rPr>
              <w:t>标准要求</w:t>
            </w:r>
          </w:p>
        </w:tc>
        <w:tc>
          <w:tcPr>
            <w:tcW w:w="945" w:type="pct"/>
            <w:vAlign w:val="center"/>
          </w:tcPr>
          <w:p w:rsidR="00471B67" w:rsidRPr="000B6EC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数值降低</w:t>
            </w:r>
            <w:r w:rsidRPr="000B6EC5">
              <w:rPr>
                <w:rFonts w:cs="宋体" w:hint="eastAsia"/>
                <w:kern w:val="0"/>
                <w:szCs w:val="18"/>
              </w:rPr>
              <w:t>比例</w:t>
            </w:r>
          </w:p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0B6EC5">
              <w:rPr>
                <w:rFonts w:cs="宋体" w:hint="eastAsia"/>
                <w:kern w:val="0"/>
                <w:szCs w:val="18"/>
              </w:rPr>
              <w:t>（</w:t>
            </w:r>
            <w:r w:rsidRPr="000B6EC5">
              <w:rPr>
                <w:rFonts w:cs="宋体" w:hint="eastAsia"/>
                <w:kern w:val="0"/>
                <w:szCs w:val="18"/>
              </w:rPr>
              <w:t>%</w:t>
            </w:r>
            <w:r w:rsidRPr="000B6EC5">
              <w:rPr>
                <w:rFonts w:cs="宋体" w:hint="eastAsia"/>
                <w:kern w:val="0"/>
                <w:szCs w:val="18"/>
              </w:rPr>
              <w:t>）</w:t>
            </w:r>
          </w:p>
        </w:tc>
      </w:tr>
      <w:tr w:rsidR="00471B67" w:rsidTr="009D46BE">
        <w:trPr>
          <w:cantSplit/>
          <w:jc w:val="center"/>
        </w:trPr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:rsidTr="009D46BE">
        <w:trPr>
          <w:cantSplit/>
          <w:jc w:val="center"/>
        </w:trPr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  <w:tr w:rsidR="00471B67" w:rsidTr="009D46BE">
        <w:trPr>
          <w:cantSplit/>
          <w:jc w:val="center"/>
        </w:trPr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1390" w:type="pct"/>
            <w:vAlign w:val="center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66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945" w:type="pct"/>
          </w:tcPr>
          <w:p w:rsidR="00471B67" w:rsidRPr="00463D15" w:rsidRDefault="00471B67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</w:p>
        </w:tc>
      </w:tr>
    </w:tbl>
    <w:p w:rsidR="00471B67" w:rsidRDefault="00471B67" w:rsidP="00471B67">
      <w:pPr>
        <w:jc w:val="left"/>
        <w:rPr>
          <w:b/>
          <w:color w:val="FF0000"/>
          <w:sz w:val="24"/>
        </w:rPr>
      </w:pPr>
    </w:p>
    <w:p w:rsidR="00471B67" w:rsidRDefault="00471B67" w:rsidP="00471B67">
      <w:pPr>
        <w:numPr>
          <w:ilvl w:val="0"/>
          <w:numId w:val="2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471B67" w:rsidRDefault="00471B67" w:rsidP="00471B67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471B67" w:rsidRDefault="00471B67" w:rsidP="00471B67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 w:rsidRPr="007E19A6">
        <w:rPr>
          <w:rFonts w:cs="宋体"/>
          <w:sz w:val="21"/>
          <w:szCs w:val="21"/>
        </w:rPr>
        <w:t>1</w:t>
      </w:r>
      <w:r>
        <w:rPr>
          <w:rFonts w:cs="宋体" w:hint="eastAsia"/>
          <w:sz w:val="21"/>
          <w:szCs w:val="21"/>
        </w:rPr>
        <w:t>、</w:t>
      </w:r>
      <w:r w:rsidRPr="00DE3AD2">
        <w:rPr>
          <w:rFonts w:cs="宋体" w:hint="eastAsia"/>
          <w:sz w:val="21"/>
          <w:szCs w:val="21"/>
        </w:rPr>
        <w:t>暖通施工图设计说明：应有集中供暖系统热水循环泵的耗电</w:t>
      </w:r>
      <w:proofErr w:type="gramStart"/>
      <w:r w:rsidRPr="00DE3AD2">
        <w:rPr>
          <w:rFonts w:cs="宋体" w:hint="eastAsia"/>
          <w:sz w:val="21"/>
          <w:szCs w:val="21"/>
        </w:rPr>
        <w:t>输热比</w:t>
      </w:r>
      <w:proofErr w:type="gramEnd"/>
      <w:r w:rsidRPr="00DE3AD2">
        <w:rPr>
          <w:rFonts w:cs="宋体" w:hint="eastAsia"/>
          <w:sz w:val="21"/>
          <w:szCs w:val="21"/>
        </w:rPr>
        <w:t>、通风空调系统风机的单位风量耗功率、空调冷热水系统循环水泵的耗电输冷（热）比的计算说明，若设计说明中缺少相关数据，则须提供相应计算书</w:t>
      </w:r>
      <w:r>
        <w:rPr>
          <w:rFonts w:cs="宋体" w:hint="eastAsia"/>
          <w:sz w:val="21"/>
          <w:szCs w:val="21"/>
        </w:rPr>
        <w:t>；</w:t>
      </w:r>
    </w:p>
    <w:p w:rsidR="00471B67" w:rsidRDefault="00471B67" w:rsidP="00471B67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>、暖通施工图设备清单：应有集中供暖系统热水循环泵、通风空调系统风机和空调冷热水系统循环水泵的详细参数。</w:t>
      </w:r>
    </w:p>
    <w:p w:rsidR="00471B67" w:rsidRDefault="00471B67" w:rsidP="00471B67">
      <w:pPr>
        <w:spacing w:line="288" w:lineRule="auto"/>
        <w:rPr>
          <w:rFonts w:cs="宋体"/>
          <w:szCs w:val="21"/>
        </w:rPr>
      </w:pPr>
    </w:p>
    <w:p w:rsidR="00471B67" w:rsidRDefault="00471B67" w:rsidP="00471B67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471B6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67" w:rsidRPr="0083004F" w:rsidRDefault="00471B67" w:rsidP="009D46BE">
            <w:pPr>
              <w:spacing w:line="288" w:lineRule="auto"/>
              <w:rPr>
                <w:b/>
              </w:rPr>
            </w:pPr>
          </w:p>
        </w:tc>
      </w:tr>
    </w:tbl>
    <w:p w:rsidR="00471B67" w:rsidRDefault="00471B67" w:rsidP="00471B67"/>
    <w:p w:rsidR="00471B67" w:rsidRDefault="00471B67" w:rsidP="00471B67">
      <w:pPr>
        <w:widowControl/>
        <w:jc w:val="left"/>
        <w:rPr>
          <w:rFonts w:ascii="黑体" w:eastAsia="黑体" w:hAnsi="黑体"/>
          <w:b/>
          <w:bCs/>
          <w:sz w:val="24"/>
          <w:szCs w:val="32"/>
        </w:rPr>
      </w:pPr>
      <w:r>
        <w:br w:type="page"/>
      </w:r>
    </w:p>
    <w:sectPr w:rsidR="0047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766A"/>
    <w:multiLevelType w:val="multilevel"/>
    <w:tmpl w:val="37CD766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955A1D"/>
    <w:multiLevelType w:val="multilevel"/>
    <w:tmpl w:val="74955A1D"/>
    <w:lvl w:ilvl="0">
      <w:start w:val="3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B67"/>
    <w:rsid w:val="0047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1B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71B6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71B6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471B67"/>
    <w:pPr>
      <w:ind w:firstLineChars="200" w:firstLine="420"/>
    </w:pPr>
  </w:style>
  <w:style w:type="paragraph" w:customStyle="1" w:styleId="a3">
    <w:name w:val="条文"/>
    <w:basedOn w:val="a"/>
    <w:link w:val="Char"/>
    <w:rsid w:val="00471B67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471B67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471B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2016-03-22T03:10:00Z</dcterms:created>
  <dcterms:modified xsi:type="dcterms:W3CDTF">2016-03-22T03:10:00Z</dcterms:modified>
</cp:coreProperties>
</file>