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DA" w:rsidRDefault="00EF79DA" w:rsidP="00EF79DA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9除卫生器具、绿化灌溉和冷却塔外的其他用水采用了节水技术或措施。</w:t>
      </w:r>
      <w:r w:rsidRPr="000D5983">
        <w:rPr>
          <w:rFonts w:hint="eastAsia"/>
        </w:rPr>
        <w:t>（总分</w:t>
      </w:r>
      <w:r>
        <w:rPr>
          <w:rFonts w:hint="eastAsia"/>
        </w:rPr>
        <w:t>5</w:t>
      </w:r>
      <w:r w:rsidRPr="000D5983">
        <w:rPr>
          <w:rFonts w:hint="eastAsia"/>
        </w:rPr>
        <w:t>分）</w:t>
      </w:r>
    </w:p>
    <w:p w:rsidR="00EF79DA" w:rsidRDefault="00EF79DA" w:rsidP="00EF79DA">
      <w:pPr>
        <w:spacing w:line="360" w:lineRule="auto"/>
        <w:rPr>
          <w:szCs w:val="21"/>
        </w:rPr>
      </w:pPr>
    </w:p>
    <w:p w:rsidR="00EF79DA" w:rsidRDefault="00EF79DA" w:rsidP="00EF79DA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1"/>
        <w:gridCol w:w="1871"/>
        <w:gridCol w:w="1700"/>
      </w:tblGrid>
      <w:tr w:rsidR="00EF79DA" w:rsidTr="00E15EF3">
        <w:tc>
          <w:tcPr>
            <w:tcW w:w="4951" w:type="dxa"/>
          </w:tcPr>
          <w:p w:rsidR="00EF79DA" w:rsidRDefault="00EF79D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EF79DA" w:rsidRDefault="00EF79D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700" w:type="dxa"/>
          </w:tcPr>
          <w:p w:rsidR="00EF79DA" w:rsidRDefault="00EF79D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EF79DA" w:rsidTr="00E15EF3">
        <w:tc>
          <w:tcPr>
            <w:tcW w:w="4951" w:type="dxa"/>
            <w:vAlign w:val="center"/>
          </w:tcPr>
          <w:p w:rsidR="00EF79DA" w:rsidRDefault="00EF79DA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其他用水中采用了节水技术或措施的比例达到</w:t>
            </w:r>
            <w:r>
              <w:rPr>
                <w:rFonts w:hint="eastAsia"/>
                <w:bCs/>
                <w:lang w:val="zh-CN"/>
              </w:rPr>
              <w:t>50%</w:t>
            </w:r>
          </w:p>
        </w:tc>
        <w:tc>
          <w:tcPr>
            <w:tcW w:w="1871" w:type="dxa"/>
            <w:vAlign w:val="center"/>
          </w:tcPr>
          <w:p w:rsidR="00EF79DA" w:rsidRDefault="00EF79D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 w:rsidR="00EF79DA" w:rsidRPr="007263CE" w:rsidRDefault="00EF79D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EF79DA" w:rsidTr="00E15EF3">
        <w:tc>
          <w:tcPr>
            <w:tcW w:w="4951" w:type="dxa"/>
            <w:vAlign w:val="center"/>
          </w:tcPr>
          <w:p w:rsidR="00EF79DA" w:rsidRDefault="00EF79DA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其他用水中采用了节水技术或措施的比例达到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tc>
          <w:tcPr>
            <w:tcW w:w="1871" w:type="dxa"/>
            <w:vAlign w:val="center"/>
          </w:tcPr>
          <w:p w:rsidR="00EF79DA" w:rsidRDefault="00EF79D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</w:p>
        </w:tc>
        <w:tc>
          <w:tcPr>
            <w:tcW w:w="1700" w:type="dxa"/>
            <w:vMerge/>
            <w:vAlign w:val="center"/>
          </w:tcPr>
          <w:p w:rsidR="00EF79DA" w:rsidRPr="007263CE" w:rsidRDefault="00EF79D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EF79DA" w:rsidTr="00E15EF3">
        <w:tc>
          <w:tcPr>
            <w:tcW w:w="4951" w:type="dxa"/>
            <w:vAlign w:val="center"/>
          </w:tcPr>
          <w:p w:rsidR="00EF79DA" w:rsidRDefault="00EF79D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  <w:vAlign w:val="center"/>
          </w:tcPr>
          <w:p w:rsidR="00EF79DA" w:rsidRDefault="00EF79DA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</w:p>
        </w:tc>
        <w:tc>
          <w:tcPr>
            <w:tcW w:w="1700" w:type="dxa"/>
            <w:vAlign w:val="center"/>
          </w:tcPr>
          <w:p w:rsidR="00EF79DA" w:rsidRPr="007263CE" w:rsidRDefault="00EF79D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EF79DA" w:rsidRDefault="00EF79DA" w:rsidP="00EF79DA">
      <w:pPr>
        <w:spacing w:line="288" w:lineRule="auto"/>
        <w:rPr>
          <w:szCs w:val="21"/>
        </w:rPr>
      </w:pPr>
    </w:p>
    <w:p w:rsidR="00EF79DA" w:rsidRDefault="00EF79DA" w:rsidP="00EF79DA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EF79DA" w:rsidRDefault="00EF79DA" w:rsidP="00EF79DA">
      <w:pPr>
        <w:autoSpaceDE w:val="0"/>
        <w:autoSpaceDN w:val="0"/>
        <w:adjustRightInd w:val="0"/>
        <w:jc w:val="left"/>
        <w:rPr>
          <w:szCs w:val="21"/>
          <w:lang w:val="zh-CN"/>
        </w:rPr>
      </w:pPr>
      <w:r w:rsidRPr="00733D83">
        <w:rPr>
          <w:rFonts w:hint="eastAsia"/>
          <w:szCs w:val="21"/>
          <w:lang w:val="zh-CN"/>
        </w:rPr>
        <w:t>其他用水中</w:t>
      </w:r>
      <w:r>
        <w:rPr>
          <w:rFonts w:hint="eastAsia"/>
          <w:szCs w:val="21"/>
          <w:lang w:val="zh-CN"/>
        </w:rPr>
        <w:t>采用了节水技术和措施的用水量占其他用水总用水量的比例为：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</w:rPr>
        <w:t>（</w:t>
      </w:r>
      <w:r>
        <w:rPr>
          <w:rFonts w:cs="宋体" w:hint="eastAsia"/>
        </w:rPr>
        <w:t>%</w:t>
      </w:r>
      <w:r>
        <w:rPr>
          <w:rFonts w:cs="宋体" w:hint="eastAsia"/>
        </w:rPr>
        <w:t>）</w:t>
      </w:r>
    </w:p>
    <w:p w:rsidR="00EF79DA" w:rsidRDefault="00EF79DA" w:rsidP="00EF79DA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Cs w:val="21"/>
        </w:rPr>
      </w:pPr>
      <w:r>
        <w:rPr>
          <w:rFonts w:hint="eastAsia"/>
          <w:szCs w:val="21"/>
          <w:lang w:val="zh-CN"/>
        </w:rPr>
        <w:t>简要说明</w:t>
      </w:r>
      <w:r>
        <w:rPr>
          <w:rFonts w:ascii="宋体" w:hAnsi="Calibri" w:cs="宋体" w:hint="eastAsia"/>
          <w:kern w:val="0"/>
          <w:szCs w:val="21"/>
        </w:rPr>
        <w:t>其他用水采用节水技术和措施（如车库和道路冲洗用的节水高压水枪、节水型专业洗衣机、循环用水洗车台，给水深度处理采用自用水量较少的处理设备和措施，集中空调加湿系统采用用水效率高的设备和措施）</w:t>
      </w:r>
      <w:r>
        <w:rPr>
          <w:rFonts w:hint="eastAsia"/>
          <w:szCs w:val="21"/>
          <w:lang w:val="zh-CN"/>
        </w:rPr>
        <w:t>。（</w:t>
      </w:r>
      <w:r>
        <w:rPr>
          <w:rFonts w:hint="eastAsia"/>
          <w:szCs w:val="21"/>
          <w:lang w:val="zh-CN"/>
        </w:rPr>
        <w:t>15</w:t>
      </w:r>
      <w:r>
        <w:rPr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字以内）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EF79DA" w:rsidTr="00E15EF3">
        <w:trPr>
          <w:cantSplit/>
          <w:trHeight w:val="1179"/>
        </w:trPr>
        <w:tc>
          <w:tcPr>
            <w:tcW w:w="8677" w:type="dxa"/>
          </w:tcPr>
          <w:p w:rsidR="00EF79DA" w:rsidRDefault="00EF79DA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EF79DA" w:rsidRDefault="00EF79DA" w:rsidP="00EF79DA">
      <w:pPr>
        <w:spacing w:line="360" w:lineRule="auto"/>
      </w:pPr>
    </w:p>
    <w:p w:rsidR="00EF79DA" w:rsidRDefault="00EF79DA" w:rsidP="00EF79DA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EF79DA" w:rsidRDefault="00EF79DA" w:rsidP="00EF79DA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EF79DA" w:rsidRDefault="00EF79DA" w:rsidP="00EF79DA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F908BB">
        <w:rPr>
          <w:rFonts w:hint="eastAsia"/>
          <w:szCs w:val="21"/>
        </w:rPr>
        <w:t>所采用技术或措施的相关施工图（包括设计施工说明、平面图、系统图）</w:t>
      </w:r>
    </w:p>
    <w:p w:rsidR="00EF79DA" w:rsidRDefault="00EF79DA" w:rsidP="00EF79DA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F908BB">
        <w:rPr>
          <w:rFonts w:hint="eastAsia"/>
          <w:szCs w:val="21"/>
        </w:rPr>
        <w:t>相关计算书、产品说明书等。</w:t>
      </w:r>
    </w:p>
    <w:p w:rsidR="00EF79DA" w:rsidRDefault="00EF79DA" w:rsidP="00EF79DA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EF79DA" w:rsidTr="00E15EF3">
        <w:trPr>
          <w:cantSplit/>
          <w:trHeight w:val="1179"/>
        </w:trPr>
        <w:tc>
          <w:tcPr>
            <w:tcW w:w="8677" w:type="dxa"/>
          </w:tcPr>
          <w:p w:rsidR="00EF79DA" w:rsidRPr="00EE5207" w:rsidRDefault="00EF79DA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53FEA"/>
    <w:multiLevelType w:val="multilevel"/>
    <w:tmpl w:val="38653FE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AA60FB"/>
    <w:multiLevelType w:val="multilevel"/>
    <w:tmpl w:val="66AA60FB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9DA"/>
    <w:rsid w:val="005B48A8"/>
    <w:rsid w:val="006D2B9F"/>
    <w:rsid w:val="008A7F9A"/>
    <w:rsid w:val="00E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79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F79D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F79DA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EF79D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EF79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EF79DA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EF79D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2016-03-22T03:50:00Z</dcterms:created>
  <dcterms:modified xsi:type="dcterms:W3CDTF">2016-03-22T03:51:00Z</dcterms:modified>
</cp:coreProperties>
</file>