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88" w:lineRule="auto"/>
        <w:ind w:firstLine="199" w:firstLineChars="83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4.1.4 </w:t>
      </w:r>
      <w:r>
        <w:rPr>
          <w:rFonts w:hint="eastAsia" w:ascii="宋体" w:hAnsi="宋体" w:eastAsia="宋体" w:cs="宋体"/>
          <w:kern w:val="0"/>
          <w:sz w:val="24"/>
          <w:szCs w:val="24"/>
        </w:rPr>
        <w:t>建筑规划布局应满足日照标准，且不得降低周边建筑的日照标准。</w:t>
      </w:r>
    </w:p>
    <w:p>
      <w:pPr>
        <w:spacing w:line="288" w:lineRule="auto"/>
        <w:ind w:firstLine="422"/>
        <w:rPr>
          <w:b/>
          <w:bCs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442963"/>
    <w:rsid w:val="04442963"/>
    <w:rsid w:val="45E3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表格"/>
    <w:basedOn w:val="1"/>
    <w:qFormat/>
    <w:uiPriority w:val="0"/>
    <w:pPr>
      <w:jc w:val="center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2019-09-02T00:34:00Z</dcterms:created>
  <dc:creator>小情绪丶</dc:creator>
  <cp:lastModifiedBy>Administrator</cp:lastModifiedBy>
  <dcterms:modified xsi:type="dcterms:W3CDTF">2019-09-05T07:47:31Z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