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888" w:rsidRDefault="00B67888" w:rsidP="00B67888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6.2.7 </w:t>
      </w:r>
      <w:r>
        <w:rPr>
          <w:rFonts w:ascii="Times New Roman" w:hAnsi="Times New Roman"/>
        </w:rPr>
        <w:t>合理选择和优化供暖、通风与空调系统。（总分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>分）</w:t>
      </w:r>
    </w:p>
    <w:p w:rsidR="00B67888" w:rsidRDefault="00B67888" w:rsidP="00B67888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b/>
          <w:bCs/>
          <w:lang w:val="zh-CN"/>
        </w:rPr>
        <w:t>；本条得分：</w:t>
      </w:r>
      <w:r>
        <w:rPr>
          <w:b/>
          <w:bCs/>
        </w:rPr>
        <w:t>__</w:t>
      </w:r>
      <w:r>
        <w:rPr>
          <w:b/>
          <w:bCs/>
          <w:lang w:val="zh-CN"/>
        </w:rPr>
        <w:t>；</w:t>
      </w:r>
    </w:p>
    <w:p w:rsidR="00B67888" w:rsidRDefault="00B67888" w:rsidP="00B67888">
      <w:pPr>
        <w:spacing w:line="288" w:lineRule="auto"/>
        <w:rPr>
          <w:b/>
          <w:bCs/>
          <w:lang w:val="zh-CN"/>
        </w:rPr>
      </w:pPr>
    </w:p>
    <w:p w:rsidR="00B67888" w:rsidRDefault="00B67888" w:rsidP="00B67888">
      <w:pPr>
        <w:tabs>
          <w:tab w:val="left" w:pos="420"/>
        </w:tabs>
        <w:spacing w:line="288" w:lineRule="auto"/>
        <w:rPr>
          <w:szCs w:val="21"/>
        </w:rPr>
      </w:pPr>
      <w:r>
        <w:rPr>
          <w:b/>
          <w:szCs w:val="21"/>
          <w:lang w:val="zh-CN"/>
        </w:rPr>
        <w:t>1</w:t>
      </w:r>
      <w:r>
        <w:rPr>
          <w:b/>
          <w:szCs w:val="21"/>
          <w:lang w:val="zh-CN"/>
        </w:rPr>
        <w:t>）自评得分</w:t>
      </w:r>
    </w:p>
    <w:p w:rsidR="00B67888" w:rsidRDefault="00DC43DE" w:rsidP="00B67888">
      <w:pPr>
        <w:tabs>
          <w:tab w:val="left" w:pos="420"/>
        </w:tabs>
        <w:snapToGrid w:val="0"/>
        <w:spacing w:afterLines="50" w:after="156" w:line="288" w:lineRule="auto"/>
        <w:rPr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 w:rsidR="00B67888">
        <w:rPr>
          <w:b/>
          <w:szCs w:val="21"/>
          <w:lang w:val="zh-CN"/>
        </w:rPr>
        <w:t>不参评：</w:t>
      </w:r>
      <w:r w:rsidR="00B67888">
        <w:rPr>
          <w:szCs w:val="21"/>
          <w:lang w:val="zh-CN"/>
        </w:rPr>
        <w:t>项目为非供暖、通风或空调的项目</w:t>
      </w:r>
    </w:p>
    <w:tbl>
      <w:tblPr>
        <w:tblW w:w="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362"/>
        <w:gridCol w:w="924"/>
        <w:gridCol w:w="924"/>
      </w:tblGrid>
      <w:tr w:rsidR="00B67888" w:rsidTr="00A72A21">
        <w:trPr>
          <w:trHeight w:val="403"/>
        </w:trPr>
        <w:tc>
          <w:tcPr>
            <w:tcW w:w="6723" w:type="dxa"/>
            <w:gridSpan w:val="2"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评价内容</w:t>
            </w:r>
          </w:p>
        </w:tc>
        <w:tc>
          <w:tcPr>
            <w:tcW w:w="924" w:type="dxa"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924" w:type="dxa"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 w:rsidR="00B67888" w:rsidTr="00A72A21">
        <w:trPr>
          <w:trHeight w:val="394"/>
        </w:trPr>
        <w:tc>
          <w:tcPr>
            <w:tcW w:w="4361" w:type="dxa"/>
            <w:vMerge w:val="restart"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left"/>
            </w:pPr>
            <w:r>
              <w:t>供暖、通风与空调系统能耗降低幅度</w:t>
            </w:r>
            <w:r>
              <w:rPr>
                <w:bCs/>
                <w:i/>
                <w:szCs w:val="21"/>
              </w:rPr>
              <w:t>De</w:t>
            </w:r>
          </w:p>
        </w:tc>
        <w:tc>
          <w:tcPr>
            <w:tcW w:w="2362" w:type="dxa"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left"/>
            </w:pPr>
            <w:r>
              <w:rPr>
                <w:bCs/>
                <w:szCs w:val="21"/>
              </w:rPr>
              <w:t>5%≤</w:t>
            </w:r>
            <w:r>
              <w:rPr>
                <w:bCs/>
                <w:i/>
                <w:szCs w:val="21"/>
              </w:rPr>
              <w:t>De</w:t>
            </w:r>
            <w:r>
              <w:rPr>
                <w:bCs/>
                <w:szCs w:val="21"/>
              </w:rPr>
              <w:t>＜</w:t>
            </w:r>
            <w:r>
              <w:rPr>
                <w:bCs/>
                <w:szCs w:val="21"/>
              </w:rPr>
              <w:t>10%</w:t>
            </w:r>
          </w:p>
        </w:tc>
        <w:tc>
          <w:tcPr>
            <w:tcW w:w="924" w:type="dxa"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center"/>
            </w:pPr>
            <w:r>
              <w:t>3</w:t>
            </w:r>
          </w:p>
        </w:tc>
        <w:tc>
          <w:tcPr>
            <w:tcW w:w="924" w:type="dxa"/>
            <w:vMerge w:val="restart"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center"/>
            </w:pPr>
          </w:p>
        </w:tc>
      </w:tr>
      <w:tr w:rsidR="00B67888" w:rsidTr="00A72A21">
        <w:trPr>
          <w:trHeight w:val="394"/>
        </w:trPr>
        <w:tc>
          <w:tcPr>
            <w:tcW w:w="4361" w:type="dxa"/>
            <w:vMerge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="482"/>
              <w:jc w:val="left"/>
              <w:rPr>
                <w:b/>
                <w:bCs/>
                <w:sz w:val="24"/>
              </w:rPr>
            </w:pPr>
          </w:p>
        </w:tc>
        <w:tc>
          <w:tcPr>
            <w:tcW w:w="2362" w:type="dxa"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left"/>
            </w:pPr>
            <w:r>
              <w:rPr>
                <w:bCs/>
                <w:szCs w:val="21"/>
              </w:rPr>
              <w:t>10%≤</w:t>
            </w:r>
            <w:r>
              <w:rPr>
                <w:bCs/>
                <w:i/>
                <w:szCs w:val="21"/>
              </w:rPr>
              <w:t>De</w:t>
            </w:r>
            <w:r>
              <w:rPr>
                <w:bCs/>
                <w:szCs w:val="21"/>
              </w:rPr>
              <w:t>＜</w:t>
            </w:r>
            <w:r>
              <w:rPr>
                <w:bCs/>
                <w:szCs w:val="21"/>
              </w:rPr>
              <w:t>15%</w:t>
            </w:r>
          </w:p>
        </w:tc>
        <w:tc>
          <w:tcPr>
            <w:tcW w:w="924" w:type="dxa"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center"/>
            </w:pPr>
            <w:r>
              <w:t>5</w:t>
            </w:r>
          </w:p>
        </w:tc>
        <w:tc>
          <w:tcPr>
            <w:tcW w:w="924" w:type="dxa"/>
            <w:vMerge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center"/>
            </w:pPr>
          </w:p>
        </w:tc>
      </w:tr>
      <w:tr w:rsidR="00B67888" w:rsidTr="00A72A21">
        <w:trPr>
          <w:trHeight w:val="394"/>
        </w:trPr>
        <w:tc>
          <w:tcPr>
            <w:tcW w:w="4361" w:type="dxa"/>
            <w:vMerge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left"/>
              <w:rPr>
                <w:b/>
                <w:bCs/>
                <w:sz w:val="24"/>
              </w:rPr>
            </w:pPr>
          </w:p>
        </w:tc>
        <w:tc>
          <w:tcPr>
            <w:tcW w:w="2362" w:type="dxa"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left"/>
            </w:pPr>
            <w:r>
              <w:rPr>
                <w:bCs/>
                <w:i/>
                <w:szCs w:val="21"/>
              </w:rPr>
              <w:t>De</w:t>
            </w:r>
            <w:r>
              <w:rPr>
                <w:bCs/>
                <w:szCs w:val="21"/>
              </w:rPr>
              <w:t>≥15%</w:t>
            </w:r>
          </w:p>
        </w:tc>
        <w:tc>
          <w:tcPr>
            <w:tcW w:w="924" w:type="dxa"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center"/>
            </w:pPr>
            <w:r>
              <w:t>7</w:t>
            </w:r>
          </w:p>
        </w:tc>
        <w:tc>
          <w:tcPr>
            <w:tcW w:w="924" w:type="dxa"/>
            <w:vMerge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center"/>
            </w:pPr>
          </w:p>
        </w:tc>
      </w:tr>
      <w:tr w:rsidR="00B67888" w:rsidTr="00A72A21">
        <w:trPr>
          <w:trHeight w:val="394"/>
        </w:trPr>
        <w:tc>
          <w:tcPr>
            <w:tcW w:w="4361" w:type="dxa"/>
            <w:vMerge w:val="restart"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</w:rPr>
              <w:t>空调系统电冷源综合制冷性能系数（</w:t>
            </w:r>
            <w:r>
              <w:rPr>
                <w:rFonts w:hint="eastAsia"/>
              </w:rPr>
              <w:t>SCOP</w:t>
            </w:r>
            <w:r>
              <w:rPr>
                <w:rFonts w:hint="eastAsia"/>
              </w:rPr>
              <w:t>）提高幅度</w:t>
            </w:r>
            <w:r>
              <w:rPr>
                <w:rFonts w:hint="eastAsia"/>
              </w:rPr>
              <w:t>Dr</w:t>
            </w:r>
          </w:p>
        </w:tc>
        <w:tc>
          <w:tcPr>
            <w:tcW w:w="2362" w:type="dxa"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left"/>
            </w:pPr>
            <w:r>
              <w:rPr>
                <w:bCs/>
                <w:szCs w:val="21"/>
              </w:rPr>
              <w:t>5%≤</w:t>
            </w:r>
            <w:r>
              <w:rPr>
                <w:bCs/>
                <w:i/>
                <w:szCs w:val="21"/>
              </w:rPr>
              <w:t>Dr</w:t>
            </w:r>
            <w:r>
              <w:rPr>
                <w:bCs/>
                <w:szCs w:val="21"/>
              </w:rPr>
              <w:t>＜</w:t>
            </w:r>
            <w:r>
              <w:rPr>
                <w:bCs/>
                <w:szCs w:val="21"/>
              </w:rPr>
              <w:t>10%</w:t>
            </w:r>
          </w:p>
        </w:tc>
        <w:tc>
          <w:tcPr>
            <w:tcW w:w="924" w:type="dxa"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24" w:type="dxa"/>
            <w:vMerge w:val="restart"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center"/>
            </w:pPr>
          </w:p>
        </w:tc>
      </w:tr>
      <w:tr w:rsidR="00B67888" w:rsidTr="00A72A21">
        <w:trPr>
          <w:trHeight w:val="394"/>
        </w:trPr>
        <w:tc>
          <w:tcPr>
            <w:tcW w:w="4361" w:type="dxa"/>
            <w:vMerge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left"/>
              <w:rPr>
                <w:b/>
                <w:bCs/>
                <w:sz w:val="24"/>
              </w:rPr>
            </w:pPr>
          </w:p>
        </w:tc>
        <w:tc>
          <w:tcPr>
            <w:tcW w:w="2362" w:type="dxa"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left"/>
            </w:pPr>
            <w:r>
              <w:rPr>
                <w:bCs/>
                <w:szCs w:val="21"/>
              </w:rPr>
              <w:t>10%≤</w:t>
            </w:r>
            <w:r>
              <w:rPr>
                <w:bCs/>
                <w:i/>
                <w:szCs w:val="21"/>
              </w:rPr>
              <w:t>Dr</w:t>
            </w:r>
            <w:r>
              <w:rPr>
                <w:bCs/>
                <w:szCs w:val="21"/>
              </w:rPr>
              <w:t>＜</w:t>
            </w:r>
            <w:r>
              <w:rPr>
                <w:bCs/>
                <w:szCs w:val="21"/>
              </w:rPr>
              <w:t>15%</w:t>
            </w:r>
          </w:p>
        </w:tc>
        <w:tc>
          <w:tcPr>
            <w:tcW w:w="924" w:type="dxa"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24" w:type="dxa"/>
            <w:vMerge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b/>
              </w:rPr>
            </w:pPr>
          </w:p>
        </w:tc>
      </w:tr>
      <w:tr w:rsidR="00B67888" w:rsidTr="00A72A21">
        <w:trPr>
          <w:trHeight w:val="394"/>
        </w:trPr>
        <w:tc>
          <w:tcPr>
            <w:tcW w:w="4361" w:type="dxa"/>
            <w:vMerge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left"/>
              <w:rPr>
                <w:b/>
                <w:bCs/>
                <w:sz w:val="24"/>
              </w:rPr>
            </w:pPr>
          </w:p>
        </w:tc>
        <w:tc>
          <w:tcPr>
            <w:tcW w:w="2362" w:type="dxa"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left"/>
            </w:pPr>
            <w:r>
              <w:rPr>
                <w:bCs/>
                <w:i/>
                <w:szCs w:val="21"/>
              </w:rPr>
              <w:t>Dr</w:t>
            </w:r>
            <w:r>
              <w:rPr>
                <w:bCs/>
                <w:szCs w:val="21"/>
              </w:rPr>
              <w:t>≥15%</w:t>
            </w:r>
          </w:p>
        </w:tc>
        <w:tc>
          <w:tcPr>
            <w:tcW w:w="924" w:type="dxa"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24" w:type="dxa"/>
            <w:vMerge/>
            <w:vAlign w:val="center"/>
          </w:tcPr>
          <w:p w:rsidR="00B67888" w:rsidRDefault="00B67888" w:rsidP="00A72A21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b/>
              </w:rPr>
            </w:pPr>
          </w:p>
        </w:tc>
      </w:tr>
    </w:tbl>
    <w:p w:rsidR="00B67888" w:rsidRDefault="00B67888" w:rsidP="00B67888">
      <w:pPr>
        <w:jc w:val="left"/>
        <w:rPr>
          <w:b/>
          <w:sz w:val="24"/>
        </w:rPr>
      </w:pPr>
    </w:p>
    <w:p w:rsidR="00B67888" w:rsidRDefault="00B67888" w:rsidP="00B67888"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2</w:t>
      </w:r>
      <w:r>
        <w:rPr>
          <w:b/>
          <w:szCs w:val="21"/>
          <w:lang w:val="zh-CN"/>
        </w:rPr>
        <w:t>）评价要点</w:t>
      </w:r>
    </w:p>
    <w:p w:rsidR="00B67888" w:rsidRDefault="00B67888" w:rsidP="00B67888">
      <w:pPr>
        <w:spacing w:line="288" w:lineRule="auto"/>
        <w:rPr>
          <w:szCs w:val="21"/>
          <w:lang w:val="zh-CN"/>
        </w:rPr>
      </w:pPr>
      <w:r>
        <w:rPr>
          <w:szCs w:val="21"/>
          <w:lang w:val="zh-CN"/>
        </w:rPr>
        <w:t>采用的能耗模拟软件：</w:t>
      </w:r>
    </w:p>
    <w:p w:rsidR="00B67888" w:rsidRDefault="00B67888" w:rsidP="00B67888">
      <w:pPr>
        <w:spacing w:line="288" w:lineRule="auto"/>
        <w:rPr>
          <w:szCs w:val="21"/>
          <w:lang w:val="zh-CN"/>
        </w:rPr>
      </w:pPr>
      <w:r>
        <w:rPr>
          <w:szCs w:val="21"/>
          <w:lang w:val="zh-CN"/>
        </w:rPr>
        <w:t>执行建筑节能设计标准：</w:t>
      </w:r>
    </w:p>
    <w:p w:rsidR="00B67888" w:rsidRDefault="00B67888" w:rsidP="00B67888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按国家、地方或行业有关建筑节能设计标准进行能耗计算，计算结果为：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2943"/>
        <w:gridCol w:w="1703"/>
        <w:gridCol w:w="1982"/>
        <w:gridCol w:w="1894"/>
      </w:tblGrid>
      <w:tr w:rsidR="00B67888" w:rsidTr="00A72A21">
        <w:trPr>
          <w:trHeight w:val="465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建筑分项能耗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参照建筑（限值）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实际建筑</w:t>
            </w:r>
          </w:p>
        </w:tc>
      </w:tr>
      <w:tr w:rsidR="00B67888" w:rsidTr="00A72A21">
        <w:trPr>
          <w:trHeight w:val="28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冷热源系统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kWh/m</w:t>
            </w:r>
            <w:r>
              <w:rPr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</w:tr>
      <w:tr w:rsidR="00B67888" w:rsidTr="00A72A21">
        <w:trPr>
          <w:trHeight w:val="28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输配系统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kWh/m</w:t>
            </w:r>
            <w:r>
              <w:rPr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</w:tr>
      <w:tr w:rsidR="00B67888" w:rsidTr="00A72A21">
        <w:trPr>
          <w:trHeight w:val="28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末端系统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kWh/m</w:t>
            </w:r>
            <w:r>
              <w:rPr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</w:tr>
      <w:tr w:rsidR="00B67888" w:rsidTr="00A72A21">
        <w:trPr>
          <w:trHeight w:val="28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热回收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kWh/m</w:t>
            </w:r>
            <w:r>
              <w:rPr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</w:tr>
      <w:tr w:rsidR="00B67888" w:rsidTr="00A72A21">
        <w:trPr>
          <w:trHeight w:val="3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供暖、通风与空调系统年能耗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kWh/m</w:t>
            </w:r>
            <w:r>
              <w:rPr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</w:tr>
      <w:tr w:rsidR="00B67888" w:rsidTr="00A72A21">
        <w:trPr>
          <w:trHeight w:val="18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能耗降低幅度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88" w:rsidRDefault="00B678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％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7888" w:rsidRDefault="00B67888" w:rsidP="00A72A21"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</w:tr>
    </w:tbl>
    <w:p w:rsidR="00B67888" w:rsidRDefault="00B67888" w:rsidP="00B67888">
      <w:pPr>
        <w:jc w:val="left"/>
        <w:rPr>
          <w:b/>
          <w:sz w:val="24"/>
        </w:rPr>
      </w:pPr>
    </w:p>
    <w:p w:rsidR="00B67888" w:rsidRDefault="00B67888" w:rsidP="00B67888"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3</w:t>
      </w:r>
      <w:r>
        <w:rPr>
          <w:b/>
          <w:szCs w:val="21"/>
          <w:lang w:val="zh-CN"/>
        </w:rPr>
        <w:t>）证明材料</w:t>
      </w:r>
    </w:p>
    <w:p w:rsidR="00B67888" w:rsidRDefault="00B67888" w:rsidP="00B67888">
      <w:pPr>
        <w:pStyle w:val="a5"/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提交资料及要求：</w:t>
      </w:r>
    </w:p>
    <w:p w:rsidR="00B67888" w:rsidRDefault="00B67888" w:rsidP="00B67888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sz w:val="21"/>
          <w:szCs w:val="21"/>
        </w:rPr>
        <w:t>、暖通空调专业施工图及设计说明：应包含完整的暖通空调系统形式说明、设计参数和设备参数；</w:t>
      </w:r>
    </w:p>
    <w:p w:rsidR="00B67888" w:rsidRDefault="00B67888" w:rsidP="00B67888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sz w:val="21"/>
          <w:szCs w:val="21"/>
        </w:rPr>
        <w:t>、暖通空调能耗模拟报告：报告应包含设计建筑和参考建筑的建筑模型、围护结构热工性能、热扰强度和作息、系统形式、设备参数、全年累计冷热负荷、全年累计能耗、系统分项能耗和各节能措施的节能效果分析。</w:t>
      </w:r>
    </w:p>
    <w:p w:rsidR="00B67888" w:rsidRDefault="00B67888" w:rsidP="00B67888">
      <w:pPr>
        <w:pStyle w:val="a5"/>
        <w:spacing w:line="288" w:lineRule="auto"/>
        <w:outlineLvl w:val="9"/>
        <w:rPr>
          <w:sz w:val="21"/>
          <w:szCs w:val="21"/>
        </w:rPr>
      </w:pPr>
    </w:p>
    <w:p w:rsidR="00B67888" w:rsidRDefault="00B67888" w:rsidP="00B67888">
      <w:pPr>
        <w:spacing w:line="288" w:lineRule="auto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W w:w="8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5"/>
      </w:tblGrid>
      <w:tr w:rsidR="00B67888" w:rsidTr="00A72A21">
        <w:trPr>
          <w:trHeight w:val="1134"/>
          <w:jc w:val="center"/>
        </w:trPr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88" w:rsidRDefault="00B67888" w:rsidP="00A72A21">
            <w:pPr>
              <w:spacing w:line="288" w:lineRule="auto"/>
              <w:rPr>
                <w:b/>
              </w:rPr>
            </w:pPr>
          </w:p>
        </w:tc>
      </w:tr>
    </w:tbl>
    <w:p w:rsidR="005A458E" w:rsidRDefault="005A458E"/>
    <w:sectPr w:rsidR="005A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040" w:rsidRDefault="00607040" w:rsidP="00B67888">
      <w:r>
        <w:separator/>
      </w:r>
    </w:p>
  </w:endnote>
  <w:endnote w:type="continuationSeparator" w:id="0">
    <w:p w:rsidR="00607040" w:rsidRDefault="00607040" w:rsidP="00B6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040" w:rsidRDefault="00607040" w:rsidP="00B67888">
      <w:r>
        <w:separator/>
      </w:r>
    </w:p>
  </w:footnote>
  <w:footnote w:type="continuationSeparator" w:id="0">
    <w:p w:rsidR="00607040" w:rsidRDefault="00607040" w:rsidP="00B67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B8"/>
    <w:rsid w:val="00315DB8"/>
    <w:rsid w:val="005A458E"/>
    <w:rsid w:val="00607040"/>
    <w:rsid w:val="00767D10"/>
    <w:rsid w:val="00B67888"/>
    <w:rsid w:val="00DC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38B078-BA5B-4457-8B1D-0730AC73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8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67888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7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78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78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7888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67888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B67888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B67888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B67888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2019-10-21T02:00:00Z</dcterms:created>
  <dcterms:modified xsi:type="dcterms:W3CDTF">2019-11-07T05:53:00Z</dcterms:modified>
</cp:coreProperties>
</file>