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36" w:rsidRDefault="006E4636" w:rsidP="006E463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8.2.5 </w:t>
      </w:r>
      <w:r>
        <w:rPr>
          <w:rFonts w:ascii="Times New Roman" w:hAnsi="Times New Roman"/>
        </w:rPr>
        <w:t>采用工业化生产的预制构件。（总分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分）</w:t>
      </w:r>
    </w:p>
    <w:p w:rsidR="006E4636" w:rsidRDefault="006E4636" w:rsidP="006E463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</w:rPr>
        <w:t>__</w:t>
      </w:r>
      <w:r>
        <w:rPr>
          <w:rFonts w:hint="eastAsia"/>
          <w:b/>
          <w:bCs/>
        </w:rPr>
        <w:t>分</w:t>
      </w:r>
      <w:r>
        <w:rPr>
          <w:b/>
          <w:bCs/>
          <w:lang w:val="zh-CN"/>
        </w:rPr>
        <w:t>；</w:t>
      </w:r>
    </w:p>
    <w:p w:rsidR="006E4636" w:rsidRDefault="006E4636" w:rsidP="006E4636">
      <w:pPr>
        <w:spacing w:line="288" w:lineRule="auto"/>
        <w:rPr>
          <w:b/>
          <w:bCs/>
        </w:rPr>
      </w:pPr>
    </w:p>
    <w:p w:rsidR="006E4636" w:rsidRDefault="006E4636" w:rsidP="006E4636">
      <w:pPr>
        <w:spacing w:line="288" w:lineRule="auto"/>
        <w:rPr>
          <w:bCs/>
          <w:lang w:val="zh-CN"/>
        </w:rPr>
      </w:pPr>
      <w:r>
        <w:rPr>
          <w:b/>
          <w:bCs/>
          <w:lang w:val="zh-CN"/>
        </w:rPr>
        <w:t>1</w:t>
      </w:r>
      <w:r>
        <w:rPr>
          <w:b/>
          <w:bCs/>
          <w:lang w:val="zh-CN"/>
        </w:rPr>
        <w:t>）自评得分</w:t>
      </w:r>
    </w:p>
    <w:p w:rsidR="006E4636" w:rsidRDefault="006E4636" w:rsidP="006E4636">
      <w:pPr>
        <w:pStyle w:val="1"/>
        <w:snapToGrid w:val="0"/>
        <w:spacing w:afterLines="50" w:after="156"/>
        <w:ind w:firstLineChars="0" w:firstLine="0"/>
        <w:jc w:val="left"/>
        <w:rPr>
          <w:b/>
          <w:bCs/>
          <w:lang w:val="zh-CN"/>
        </w:rPr>
      </w:pPr>
      <w:r>
        <w:rPr>
          <w:b/>
        </w:rPr>
        <w:t>□</w:t>
      </w:r>
      <w:r>
        <w:rPr>
          <w:b/>
        </w:rPr>
        <w:t>不参评</w:t>
      </w:r>
      <w:r>
        <w:rPr>
          <w:rFonts w:hint="eastAsia"/>
          <w:b/>
        </w:rPr>
        <w:t>：</w:t>
      </w:r>
      <w:r>
        <w:rPr>
          <w:bCs/>
          <w:lang w:val="zh-CN"/>
        </w:rPr>
        <w:t>砌体结构建筑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2645"/>
        <w:gridCol w:w="1617"/>
        <w:gridCol w:w="1510"/>
      </w:tblGrid>
      <w:tr w:rsidR="006E4636" w:rsidTr="00A72A21">
        <w:trPr>
          <w:trHeight w:val="414"/>
          <w:jc w:val="center"/>
        </w:trPr>
        <w:tc>
          <w:tcPr>
            <w:tcW w:w="5395" w:type="dxa"/>
            <w:gridSpan w:val="2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61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</w:t>
            </w:r>
          </w:p>
        </w:tc>
        <w:tc>
          <w:tcPr>
            <w:tcW w:w="1510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自评得分</w:t>
            </w:r>
          </w:p>
        </w:tc>
      </w:tr>
      <w:tr w:rsidR="006E4636" w:rsidTr="00A72A21">
        <w:trPr>
          <w:jc w:val="center"/>
        </w:trPr>
        <w:tc>
          <w:tcPr>
            <w:tcW w:w="2750" w:type="dxa"/>
            <w:vMerge w:val="restart"/>
            <w:vAlign w:val="center"/>
          </w:tcPr>
          <w:p w:rsidR="006E4636" w:rsidRDefault="006E4636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预制构件用量比例</w:t>
            </w:r>
            <w:r>
              <w:rPr>
                <w:bCs/>
                <w:i/>
                <w:sz w:val="21"/>
                <w:szCs w:val="21"/>
              </w:rPr>
              <w:t>Rpc</w:t>
            </w:r>
          </w:p>
        </w:tc>
        <w:tc>
          <w:tcPr>
            <w:tcW w:w="2645" w:type="dxa"/>
            <w:vAlign w:val="center"/>
          </w:tcPr>
          <w:p w:rsidR="006E4636" w:rsidRDefault="006E4636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15%</w:t>
            </w:r>
            <w:r>
              <w:rPr>
                <w:rFonts w:eastAsiaTheme="minor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Rpc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30%</w:t>
            </w:r>
          </w:p>
        </w:tc>
        <w:tc>
          <w:tcPr>
            <w:tcW w:w="161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510" w:type="dxa"/>
            <w:vMerge w:val="restart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2750" w:type="dxa"/>
            <w:vMerge/>
            <w:vAlign w:val="center"/>
          </w:tcPr>
          <w:p w:rsidR="006E4636" w:rsidRDefault="006E4636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E4636" w:rsidRDefault="006E4636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</w:rPr>
              <w:t>30%≤</w:t>
            </w:r>
            <w:r>
              <w:rPr>
                <w:bCs/>
                <w:i/>
                <w:sz w:val="21"/>
                <w:szCs w:val="21"/>
              </w:rPr>
              <w:t>Rpc</w:t>
            </w:r>
            <w:r>
              <w:rPr>
                <w:bCs/>
                <w:sz w:val="21"/>
                <w:szCs w:val="21"/>
              </w:rPr>
              <w:t>＜</w:t>
            </w:r>
            <w:r>
              <w:rPr>
                <w:rFonts w:eastAsiaTheme="minorEastAsia"/>
                <w:bCs/>
                <w:sz w:val="21"/>
                <w:szCs w:val="21"/>
              </w:rPr>
              <w:t>50%</w:t>
            </w:r>
          </w:p>
        </w:tc>
        <w:tc>
          <w:tcPr>
            <w:tcW w:w="161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1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2750" w:type="dxa"/>
            <w:vMerge/>
            <w:vAlign w:val="center"/>
          </w:tcPr>
          <w:p w:rsidR="006E4636" w:rsidRDefault="006E4636" w:rsidP="00A72A21">
            <w:pPr>
              <w:pStyle w:val="a6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:rsidR="006E4636" w:rsidRDefault="006E4636" w:rsidP="00A72A21">
            <w:pPr>
              <w:pStyle w:val="a6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Rpc</w:t>
            </w:r>
            <w:r>
              <w:rPr>
                <w:bCs/>
                <w:sz w:val="21"/>
                <w:szCs w:val="21"/>
              </w:rPr>
              <w:t>≥</w:t>
            </w:r>
            <w:r>
              <w:rPr>
                <w:rFonts w:eastAsiaTheme="minorEastAsia"/>
                <w:bCs/>
                <w:sz w:val="21"/>
                <w:szCs w:val="21"/>
              </w:rPr>
              <w:t>50%</w:t>
            </w:r>
          </w:p>
        </w:tc>
        <w:tc>
          <w:tcPr>
            <w:tcW w:w="161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5</w:t>
            </w:r>
          </w:p>
        </w:tc>
        <w:tc>
          <w:tcPr>
            <w:tcW w:w="151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6E4636" w:rsidRDefault="006E4636" w:rsidP="006E4636">
      <w:pPr>
        <w:spacing w:line="288" w:lineRule="auto"/>
        <w:rPr>
          <w:b/>
          <w:bCs/>
          <w:lang w:val="zh-CN"/>
        </w:rPr>
      </w:pPr>
    </w:p>
    <w:p w:rsidR="006E4636" w:rsidRDefault="006E4636" w:rsidP="006E463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b/>
          <w:bCs/>
          <w:lang w:val="zh-CN"/>
        </w:rPr>
        <w:t>）评价要点</w:t>
      </w:r>
    </w:p>
    <w:p w:rsidR="006E4636" w:rsidRDefault="006E4636" w:rsidP="006E4636">
      <w:pPr>
        <w:spacing w:line="288" w:lineRule="auto"/>
        <w:rPr>
          <w:lang w:val="zh-CN"/>
        </w:rPr>
      </w:pPr>
      <w:r>
        <w:rPr>
          <w:lang w:val="zh-CN"/>
        </w:rPr>
        <w:t>1</w:t>
      </w:r>
      <w:r>
        <w:rPr>
          <w:lang w:val="zh-CN"/>
        </w:rPr>
        <w:t>、本项目结构类型为：</w:t>
      </w:r>
    </w:p>
    <w:p w:rsidR="006E4636" w:rsidRDefault="006E4636" w:rsidP="006E4636">
      <w:pPr>
        <w:spacing w:line="288" w:lineRule="auto"/>
        <w:rPr>
          <w:lang w:val="zh-CN"/>
        </w:rPr>
      </w:pPr>
      <w:r>
        <w:t>2</w:t>
      </w:r>
      <w:r>
        <w:rPr>
          <w:lang w:val="zh-CN"/>
        </w:rPr>
        <w:t>、预制构件用量统计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460"/>
        <w:gridCol w:w="1897"/>
        <w:gridCol w:w="3634"/>
        <w:gridCol w:w="1531"/>
      </w:tblGrid>
      <w:tr w:rsidR="006E4636" w:rsidTr="00A72A21">
        <w:trPr>
          <w:jc w:val="center"/>
        </w:trPr>
        <w:tc>
          <w:tcPr>
            <w:tcW w:w="3357" w:type="dxa"/>
            <w:gridSpan w:val="2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地上建筑构件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应用位置</w:t>
            </w: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重量（吨）</w:t>
            </w:r>
          </w:p>
        </w:tc>
      </w:tr>
      <w:tr w:rsidR="006E4636" w:rsidTr="00A72A21">
        <w:trPr>
          <w:jc w:val="center"/>
        </w:trPr>
        <w:tc>
          <w:tcPr>
            <w:tcW w:w="1460" w:type="dxa"/>
            <w:vMerge w:val="restart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预制构件类型</w:t>
            </w: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预制梁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预制柱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预制墙板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预制楼面板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预制阳台板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预制楼梯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1460" w:type="dxa"/>
            <w:vMerge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897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……</w:t>
            </w:r>
          </w:p>
        </w:tc>
        <w:tc>
          <w:tcPr>
            <w:tcW w:w="3634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6991" w:type="dxa"/>
            <w:gridSpan w:val="3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预制构件总重量</w:t>
            </w: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  <w:lang w:val="zh-CN"/>
              </w:rPr>
            </w:pPr>
          </w:p>
        </w:tc>
      </w:tr>
      <w:tr w:rsidR="006E4636" w:rsidTr="00A72A21">
        <w:trPr>
          <w:jc w:val="center"/>
        </w:trPr>
        <w:tc>
          <w:tcPr>
            <w:tcW w:w="6991" w:type="dxa"/>
            <w:gridSpan w:val="3"/>
            <w:vAlign w:val="center"/>
          </w:tcPr>
          <w:p w:rsidR="006E4636" w:rsidRDefault="006E4636" w:rsidP="00A72A21">
            <w:pPr>
              <w:spacing w:line="288" w:lineRule="auto"/>
              <w:jc w:val="center"/>
            </w:pPr>
            <w:r>
              <w:rPr>
                <w:lang w:val="zh-CN"/>
              </w:rPr>
              <w:t>建筑地上主体土建部分重量</w:t>
            </w: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b/>
              </w:rPr>
            </w:pPr>
          </w:p>
        </w:tc>
      </w:tr>
      <w:tr w:rsidR="006E4636" w:rsidTr="00A72A21">
        <w:trPr>
          <w:jc w:val="center"/>
        </w:trPr>
        <w:tc>
          <w:tcPr>
            <w:tcW w:w="6991" w:type="dxa"/>
            <w:gridSpan w:val="3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  <w:r>
              <w:rPr>
                <w:lang w:val="zh-CN"/>
              </w:rPr>
              <w:t>预制构件用量比例</w:t>
            </w:r>
            <w:r>
              <w:t>R</w:t>
            </w:r>
            <w:r>
              <w:rPr>
                <w:vertAlign w:val="subscript"/>
              </w:rPr>
              <w:t>PC</w:t>
            </w:r>
            <w:r>
              <w:rPr>
                <w:lang w:val="zh-CN"/>
              </w:rPr>
              <w:t>（</w:t>
            </w:r>
            <w:r>
              <w:rPr>
                <w:lang w:val="zh-CN"/>
              </w:rPr>
              <w:t>%</w:t>
            </w:r>
            <w:r>
              <w:rPr>
                <w:lang w:val="zh-CN"/>
              </w:rPr>
              <w:t>）</w:t>
            </w:r>
          </w:p>
        </w:tc>
        <w:tc>
          <w:tcPr>
            <w:tcW w:w="1531" w:type="dxa"/>
            <w:vAlign w:val="center"/>
          </w:tcPr>
          <w:p w:rsidR="006E4636" w:rsidRDefault="006E4636" w:rsidP="00A72A21">
            <w:pPr>
              <w:spacing w:line="288" w:lineRule="auto"/>
              <w:jc w:val="center"/>
              <w:rPr>
                <w:lang w:val="zh-CN"/>
              </w:rPr>
            </w:pPr>
          </w:p>
        </w:tc>
      </w:tr>
    </w:tbl>
    <w:p w:rsidR="006E4636" w:rsidRDefault="006E4636" w:rsidP="006E4636">
      <w:pPr>
        <w:spacing w:line="288" w:lineRule="auto"/>
      </w:pPr>
    </w:p>
    <w:p w:rsidR="006E4636" w:rsidRDefault="006E4636" w:rsidP="006E463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b/>
          <w:bCs/>
          <w:lang w:val="zh-CN"/>
        </w:rPr>
        <w:t>）证明材料</w:t>
      </w:r>
    </w:p>
    <w:p w:rsidR="006E4636" w:rsidRDefault="006E4636" w:rsidP="006E4636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6E4636" w:rsidRDefault="006E4636" w:rsidP="006E4636">
      <w:pPr>
        <w:spacing w:line="288" w:lineRule="auto"/>
      </w:pPr>
      <w:r>
        <w:t>1</w:t>
      </w:r>
      <w:r>
        <w:t>、建筑、结构施工图：图纸中应体现预制构件的相关图例、材质说明和尺寸大小；</w:t>
      </w:r>
    </w:p>
    <w:p w:rsidR="006E4636" w:rsidRDefault="006E4636" w:rsidP="006E4636">
      <w:pPr>
        <w:spacing w:line="288" w:lineRule="auto"/>
      </w:pPr>
      <w:r>
        <w:t>2</w:t>
      </w:r>
      <w:r>
        <w:t>、工程材料用量概预算（决算）清单：对于建筑中预制及非预制构件用量统计明确。</w:t>
      </w:r>
    </w:p>
    <w:p w:rsidR="006E4636" w:rsidRDefault="006E4636" w:rsidP="006E4636">
      <w:pPr>
        <w:spacing w:line="288" w:lineRule="auto"/>
      </w:pPr>
      <w:r>
        <w:t>3</w:t>
      </w:r>
      <w:r>
        <w:t>、</w:t>
      </w:r>
      <w:r>
        <w:rPr>
          <w:rFonts w:eastAsiaTheme="minorEastAsia"/>
        </w:rPr>
        <w:t>预制构件用量比例计算书</w:t>
      </w:r>
      <w:r>
        <w:t>。</w:t>
      </w:r>
    </w:p>
    <w:p w:rsidR="006E4636" w:rsidRDefault="006E4636" w:rsidP="006E4636">
      <w:pPr>
        <w:tabs>
          <w:tab w:val="left" w:pos="420"/>
        </w:tabs>
        <w:spacing w:line="288" w:lineRule="auto"/>
      </w:pPr>
    </w:p>
    <w:p w:rsidR="006E4636" w:rsidRDefault="006E4636" w:rsidP="006E4636">
      <w:pPr>
        <w:spacing w:line="288" w:lineRule="auto"/>
        <w:rPr>
          <w:b/>
        </w:rPr>
      </w:pPr>
      <w:r>
        <w:rPr>
          <w:b/>
        </w:rPr>
        <w:t>实际提交材料：</w:t>
      </w:r>
      <w:bookmarkStart w:id="0" w:name="_GoBack"/>
      <w:bookmarkEnd w:id="0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6E4636" w:rsidTr="00A72A21">
        <w:trPr>
          <w:trHeight w:val="1172"/>
          <w:jc w:val="center"/>
        </w:trPr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36" w:rsidRDefault="006E4636" w:rsidP="00A72A21">
            <w:pPr>
              <w:spacing w:line="288" w:lineRule="auto"/>
            </w:pPr>
          </w:p>
        </w:tc>
      </w:tr>
    </w:tbl>
    <w:p w:rsidR="005A458E" w:rsidRPr="006E4636" w:rsidRDefault="005A458E"/>
    <w:sectPr w:rsidR="005A458E" w:rsidRPr="006E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16C" w:rsidRDefault="009B616C" w:rsidP="006E4636">
      <w:r>
        <w:separator/>
      </w:r>
    </w:p>
  </w:endnote>
  <w:endnote w:type="continuationSeparator" w:id="0">
    <w:p w:rsidR="009B616C" w:rsidRDefault="009B616C" w:rsidP="006E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16C" w:rsidRDefault="009B616C" w:rsidP="006E4636">
      <w:r>
        <w:separator/>
      </w:r>
    </w:p>
  </w:footnote>
  <w:footnote w:type="continuationSeparator" w:id="0">
    <w:p w:rsidR="009B616C" w:rsidRDefault="009B616C" w:rsidP="006E4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CD"/>
    <w:rsid w:val="002509CD"/>
    <w:rsid w:val="005A458E"/>
    <w:rsid w:val="006E4636"/>
    <w:rsid w:val="009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C9F97-4112-4CBF-A6C9-86140D1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6E4636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6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636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E4636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6E463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6E4636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6E4636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6"/>
    <w:qFormat/>
    <w:locked/>
    <w:rsid w:val="006E4636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2019-10-21T03:24:00Z</dcterms:created>
  <dcterms:modified xsi:type="dcterms:W3CDTF">2019-10-21T03:25:00Z</dcterms:modified>
</cp:coreProperties>
</file>