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B0" w:rsidRDefault="00BF29B0" w:rsidP="00BF29B0">
      <w:pPr>
        <w:pStyle w:val="4"/>
        <w:rPr>
          <w:rFonts w:hint="eastAsia"/>
        </w:rPr>
      </w:pPr>
      <w:r w:rsidRPr="00447D24">
        <w:t>11.2.</w:t>
      </w:r>
      <w:r>
        <w:rPr>
          <w:rFonts w:hint="eastAsia"/>
        </w:rPr>
        <w:t>10</w:t>
      </w:r>
      <w:r w:rsidRPr="003A7903">
        <w:rPr>
          <w:rFonts w:hint="eastAsia"/>
        </w:rPr>
        <w:t>合理选用</w:t>
      </w:r>
      <w:r>
        <w:rPr>
          <w:rFonts w:hint="eastAsia"/>
        </w:rPr>
        <w:t>11.2.9</w:t>
      </w:r>
      <w:r w:rsidRPr="003A7903">
        <w:rPr>
          <w:rFonts w:hint="eastAsia"/>
        </w:rPr>
        <w:t>建筑方案充分考虑建筑所在地域的气候、环境、资源，结合场地特征和建筑功能，进行技术经济分析，显著提高能源资源利用效率和建筑性能</w:t>
      </w:r>
      <w:r w:rsidRPr="007324C9">
        <w:rPr>
          <w:rFonts w:hint="eastAsia"/>
        </w:rPr>
        <w:t>。</w:t>
      </w:r>
    </w:p>
    <w:p w:rsidR="00BF29B0" w:rsidRPr="00520114" w:rsidRDefault="00BF29B0" w:rsidP="00BF29B0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520114">
        <w:rPr>
          <w:b/>
        </w:rPr>
        <w:t>得分自评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129"/>
        <w:gridCol w:w="1561"/>
        <w:gridCol w:w="1545"/>
      </w:tblGrid>
      <w:tr w:rsidR="00BF29B0" w:rsidRPr="00520114" w:rsidTr="00B87D82">
        <w:trPr>
          <w:trHeight w:val="340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520114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520114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520114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520114">
              <w:rPr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BF29B0" w:rsidRPr="00520114" w:rsidTr="00B87D82">
        <w:trPr>
          <w:trHeight w:val="624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520114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561" w:type="pct"/>
            <w:shd w:val="clear" w:color="auto" w:fill="auto"/>
          </w:tcPr>
          <w:p w:rsidR="00BF29B0" w:rsidRPr="00FC04A9" w:rsidRDefault="00BF29B0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sz w:val="18"/>
                <w:szCs w:val="18"/>
              </w:rPr>
              <w:t>建筑方案充分考虑建筑所在地域的气候、环境、资源，结合场地特征和</w:t>
            </w:r>
            <w:r w:rsidRPr="007324C9">
              <w:rPr>
                <w:sz w:val="18"/>
                <w:szCs w:val="18"/>
              </w:rPr>
              <w:t xml:space="preserve"> </w:t>
            </w:r>
            <w:r w:rsidRPr="007324C9">
              <w:rPr>
                <w:rFonts w:hint="eastAsia"/>
                <w:sz w:val="18"/>
                <w:szCs w:val="18"/>
              </w:rPr>
              <w:t>建筑功能，进行技术经济分析，显著提高能源资源利用效率和建筑性能。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958" w:type="pct"/>
            <w:shd w:val="clear" w:color="auto" w:fill="auto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BF29B0" w:rsidRPr="00520114" w:rsidTr="00B87D82">
        <w:trPr>
          <w:trHeight w:val="340"/>
          <w:jc w:val="center"/>
        </w:trPr>
        <w:tc>
          <w:tcPr>
            <w:tcW w:w="3074" w:type="pct"/>
            <w:gridSpan w:val="2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520114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BF29B0" w:rsidRPr="006C1514" w:rsidRDefault="00BF29B0" w:rsidP="00BF29B0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6C1514">
        <w:rPr>
          <w:rFonts w:hint="eastAsia"/>
          <w:b/>
        </w:rPr>
        <w:t>评价要点</w:t>
      </w:r>
    </w:p>
    <w:p w:rsidR="00BF29B0" w:rsidRPr="002440BA" w:rsidRDefault="00BF29B0" w:rsidP="00BF29B0">
      <w:pPr>
        <w:spacing w:line="288" w:lineRule="auto"/>
        <w:rPr>
          <w:lang w:val="zh-CN"/>
        </w:rPr>
      </w:pPr>
      <w:r w:rsidRPr="002440BA">
        <w:rPr>
          <w:rFonts w:hint="eastAsia"/>
          <w:lang w:val="zh-CN"/>
        </w:rPr>
        <w:t>项目因地制宜地、经济有效地、创新地设计建筑方案：□是</w:t>
      </w:r>
      <w:r w:rsidRPr="002440BA">
        <w:rPr>
          <w:rFonts w:hint="eastAsia"/>
          <w:lang w:val="zh-CN"/>
        </w:rPr>
        <w:t xml:space="preserve"> </w:t>
      </w:r>
      <w:r w:rsidRPr="002440BA">
        <w:rPr>
          <w:rFonts w:hint="eastAsia"/>
          <w:lang w:val="zh-CN"/>
        </w:rPr>
        <w:t>□否</w:t>
      </w:r>
    </w:p>
    <w:p w:rsidR="00BF29B0" w:rsidRPr="002440BA" w:rsidRDefault="00BF29B0" w:rsidP="00BF29B0">
      <w:pPr>
        <w:spacing w:line="288" w:lineRule="auto"/>
        <w:rPr>
          <w:lang w:val="zh-CN"/>
        </w:rPr>
      </w:pPr>
    </w:p>
    <w:p w:rsidR="00BF29B0" w:rsidRPr="002440BA" w:rsidRDefault="00BF29B0" w:rsidP="00BF29B0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如</w:t>
      </w:r>
      <w:r w:rsidRPr="002440BA">
        <w:rPr>
          <w:rFonts w:hint="eastAsia"/>
          <w:lang w:val="zh-CN"/>
        </w:rPr>
        <w:t>“是”，简要说明项目如何</w:t>
      </w:r>
      <w:r>
        <w:rPr>
          <w:rFonts w:hint="eastAsia"/>
          <w:lang w:val="zh-CN"/>
        </w:rPr>
        <w:t>根据</w:t>
      </w:r>
      <w:r w:rsidRPr="002440BA">
        <w:rPr>
          <w:rFonts w:hint="eastAsia"/>
          <w:lang w:val="zh-CN"/>
        </w:rPr>
        <w:t>所在地域的气候、环境、资源情况，</w:t>
      </w:r>
      <w:r>
        <w:rPr>
          <w:rFonts w:hint="eastAsia"/>
          <w:lang w:val="zh-CN"/>
        </w:rPr>
        <w:t>及</w:t>
      </w:r>
      <w:r w:rsidRPr="002440BA">
        <w:rPr>
          <w:rFonts w:hint="eastAsia"/>
          <w:lang w:val="zh-CN"/>
        </w:rPr>
        <w:t>结合场地特征和建筑功能，</w:t>
      </w:r>
      <w:r>
        <w:rPr>
          <w:rFonts w:hint="eastAsia"/>
          <w:lang w:val="zh-CN"/>
        </w:rPr>
        <w:t>选择合适的建筑方案</w:t>
      </w:r>
      <w:r w:rsidRPr="002440BA">
        <w:rPr>
          <w:rFonts w:hint="eastAsia"/>
          <w:lang w:val="zh-CN"/>
        </w:rPr>
        <w:t>提高能源资源利用效率和建筑性能。（</w:t>
      </w:r>
      <w:r w:rsidRPr="002440BA">
        <w:rPr>
          <w:lang w:val="zh-CN"/>
        </w:rPr>
        <w:t>300</w:t>
      </w:r>
      <w:r w:rsidRPr="002440BA">
        <w:rPr>
          <w:rFonts w:hint="eastAsia"/>
          <w:lang w:val="zh-CN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BF29B0" w:rsidTr="00B87D82">
        <w:trPr>
          <w:trHeight w:val="2835"/>
          <w:jc w:val="center"/>
        </w:trPr>
        <w:tc>
          <w:tcPr>
            <w:tcW w:w="8334" w:type="dxa"/>
          </w:tcPr>
          <w:p w:rsidR="00BF29B0" w:rsidRDefault="00BF29B0" w:rsidP="00B87D82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</w:rPr>
            </w:pPr>
          </w:p>
        </w:tc>
      </w:tr>
    </w:tbl>
    <w:p w:rsidR="00BF29B0" w:rsidRPr="006C1514" w:rsidRDefault="00BF29B0" w:rsidP="00BF29B0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6C1514">
        <w:rPr>
          <w:rFonts w:hint="eastAsia"/>
          <w:b/>
        </w:rPr>
        <w:t>证明材料</w:t>
      </w:r>
    </w:p>
    <w:p w:rsidR="00BF29B0" w:rsidRDefault="00BF29B0" w:rsidP="00BF29B0">
      <w:pPr>
        <w:pStyle w:val="a6"/>
        <w:tabs>
          <w:tab w:val="left" w:pos="0"/>
        </w:tabs>
        <w:spacing w:line="288" w:lineRule="auto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提交材料及要求：</w:t>
      </w:r>
    </w:p>
    <w:p w:rsidR="00BF29B0" w:rsidRDefault="00BF29B0" w:rsidP="00BF29B0">
      <w:pPr>
        <w:pStyle w:val="a6"/>
        <w:numPr>
          <w:ilvl w:val="0"/>
          <w:numId w:val="2"/>
        </w:numPr>
        <w:spacing w:line="288" w:lineRule="auto"/>
        <w:ind w:left="420" w:hangingChars="200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建筑设计说明：应包含创新方案设计的详细说明；</w:t>
      </w:r>
    </w:p>
    <w:p w:rsidR="00BF29B0" w:rsidRDefault="00BF29B0" w:rsidP="00BF29B0">
      <w:pPr>
        <w:pStyle w:val="a6"/>
        <w:numPr>
          <w:ilvl w:val="0"/>
          <w:numId w:val="2"/>
        </w:numPr>
        <w:spacing w:line="288" w:lineRule="auto"/>
        <w:ind w:left="420" w:hangingChars="200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建筑相关的设计图纸：应体现创新方案设计的相关内容。</w:t>
      </w:r>
    </w:p>
    <w:p w:rsidR="00BF29B0" w:rsidRDefault="00BF29B0" w:rsidP="00BF29B0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</w:p>
    <w:p w:rsidR="00BF29B0" w:rsidRDefault="00BF29B0" w:rsidP="00BF29B0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实际提交资料：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F29B0" w:rsidTr="00B87D82">
        <w:trPr>
          <w:trHeight w:val="1361"/>
          <w:jc w:val="center"/>
        </w:trPr>
        <w:tc>
          <w:tcPr>
            <w:tcW w:w="8334" w:type="dxa"/>
          </w:tcPr>
          <w:p w:rsidR="00BF29B0" w:rsidRDefault="00BF29B0" w:rsidP="00B87D82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</w:rPr>
            </w:pPr>
          </w:p>
        </w:tc>
      </w:tr>
    </w:tbl>
    <w:p w:rsidR="00BF29B0" w:rsidRPr="00447D24" w:rsidRDefault="00BF29B0" w:rsidP="00BF29B0">
      <w:pPr>
        <w:pStyle w:val="4"/>
        <w:rPr>
          <w:rFonts w:hint="eastAsia"/>
        </w:rPr>
      </w:pPr>
      <w:r w:rsidRPr="003A7903">
        <w:rPr>
          <w:rFonts w:hint="eastAsia"/>
        </w:rPr>
        <w:t>废弃场地进行建设，或充分利用尚可使用的既有建筑</w:t>
      </w:r>
      <w:r w:rsidRPr="007324C9">
        <w:rPr>
          <w:rFonts w:hint="eastAsia"/>
        </w:rPr>
        <w:t>。</w:t>
      </w:r>
    </w:p>
    <w:p w:rsidR="00BF29B0" w:rsidRPr="00520114" w:rsidRDefault="00BF29B0" w:rsidP="00BF29B0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520114">
        <w:rPr>
          <w:b/>
        </w:rPr>
        <w:t>得分自评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833"/>
        <w:gridCol w:w="1857"/>
        <w:gridCol w:w="1545"/>
      </w:tblGrid>
      <w:tr w:rsidR="00BF29B0" w:rsidRPr="00520114" w:rsidTr="00B87D82">
        <w:trPr>
          <w:trHeight w:val="340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520114">
              <w:rPr>
                <w:b/>
                <w:bCs/>
                <w:sz w:val="18"/>
                <w:szCs w:val="18"/>
                <w:lang w:val="zh-CN"/>
              </w:rPr>
              <w:lastRenderedPageBreak/>
              <w:t>序号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520114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520114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520114">
              <w:rPr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BF29B0" w:rsidRPr="00520114" w:rsidTr="00B87D82">
        <w:trPr>
          <w:trHeight w:val="340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520114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BF29B0" w:rsidRPr="00153DB8" w:rsidRDefault="00BF29B0" w:rsidP="00B87D82">
            <w:pPr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sz w:val="18"/>
                <w:szCs w:val="18"/>
              </w:rPr>
              <w:t>合理选用废弃场地进行建设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BF29B0" w:rsidRPr="00520114" w:rsidTr="00B87D82">
        <w:trPr>
          <w:trHeight w:val="340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520114"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BF29B0" w:rsidRPr="00153DB8" w:rsidRDefault="00BF29B0" w:rsidP="00B87D82">
            <w:pPr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sz w:val="18"/>
                <w:szCs w:val="18"/>
              </w:rPr>
              <w:t>充分利用尚可使用的旧建筑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BF29B0" w:rsidRPr="00520114" w:rsidTr="00B87D82">
        <w:trPr>
          <w:trHeight w:val="340"/>
          <w:jc w:val="center"/>
        </w:trPr>
        <w:tc>
          <w:tcPr>
            <w:tcW w:w="2890" w:type="pct"/>
            <w:gridSpan w:val="2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520114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F29B0" w:rsidRPr="00520114" w:rsidRDefault="00BF29B0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BF29B0" w:rsidRPr="00520114" w:rsidRDefault="00BF29B0" w:rsidP="00BF29B0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520114">
        <w:rPr>
          <w:rFonts w:hint="eastAsia"/>
          <w:b/>
        </w:rPr>
        <w:t>评价要点</w:t>
      </w:r>
    </w:p>
    <w:p w:rsidR="00BF29B0" w:rsidRPr="002440BA" w:rsidRDefault="00BF29B0" w:rsidP="00BF29B0">
      <w:pPr>
        <w:spacing w:line="288" w:lineRule="auto"/>
        <w:rPr>
          <w:rFonts w:ascii="宋体" w:hAnsi="宋体"/>
        </w:rPr>
      </w:pPr>
      <w:r w:rsidRPr="002440BA">
        <w:t>1</w:t>
      </w:r>
      <w:r w:rsidRPr="002440BA">
        <w:t>、</w:t>
      </w:r>
      <w:r w:rsidRPr="002440BA">
        <w:rPr>
          <w:rFonts w:ascii="宋体" w:hAnsi="宋体" w:hint="eastAsia"/>
        </w:rPr>
        <w:t>项目选用废弃场地进行建设：</w:t>
      </w:r>
      <w:r w:rsidRPr="002440BA">
        <w:rPr>
          <w:rFonts w:ascii="宋体" w:hAnsi="宋体" w:hint="eastAsia"/>
          <w:bCs/>
          <w:lang w:val="zh-CN"/>
        </w:rPr>
        <w:t>□</w:t>
      </w:r>
      <w:r w:rsidRPr="002440BA">
        <w:rPr>
          <w:rFonts w:cs="宋体" w:hint="eastAsia"/>
        </w:rPr>
        <w:t>是、</w:t>
      </w:r>
      <w:r w:rsidRPr="002440BA">
        <w:rPr>
          <w:rFonts w:ascii="宋体" w:hAnsi="宋体" w:hint="eastAsia"/>
          <w:bCs/>
          <w:lang w:val="zh-CN"/>
        </w:rPr>
        <w:t>□</w:t>
      </w:r>
      <w:r w:rsidRPr="002440BA">
        <w:rPr>
          <w:rFonts w:cs="宋体" w:hint="eastAsia"/>
        </w:rPr>
        <w:t>否</w:t>
      </w:r>
    </w:p>
    <w:p w:rsidR="00BF29B0" w:rsidRPr="002440BA" w:rsidRDefault="00BF29B0" w:rsidP="00BF29B0">
      <w:pPr>
        <w:tabs>
          <w:tab w:val="left" w:pos="2702"/>
        </w:tabs>
        <w:spacing w:line="288" w:lineRule="auto"/>
        <w:rPr>
          <w:rFonts w:cs="宋体"/>
          <w:lang w:val="zh-CN"/>
        </w:rPr>
      </w:pPr>
      <w:r w:rsidRPr="002440BA">
        <w:rPr>
          <w:rFonts w:cs="宋体" w:hint="eastAsia"/>
          <w:lang w:val="zh-CN"/>
        </w:rPr>
        <w:t>如“是”，则所选废弃场地为：□裸岩、□石砾地、□盐碱地、□沙荒地、□废窑坑、□废旧仓库、□工厂弃置地、□其他</w:t>
      </w:r>
      <w:r w:rsidRPr="002440BA">
        <w:rPr>
          <w:rFonts w:cs="宋体" w:hint="eastAsia"/>
          <w:u w:val="single"/>
          <w:lang w:val="zh-CN"/>
        </w:rPr>
        <w:t xml:space="preserve">            </w:t>
      </w:r>
    </w:p>
    <w:p w:rsidR="00BF29B0" w:rsidRPr="002440BA" w:rsidRDefault="00BF29B0" w:rsidP="00BF29B0">
      <w:pPr>
        <w:tabs>
          <w:tab w:val="left" w:pos="2702"/>
        </w:tabs>
        <w:spacing w:line="288" w:lineRule="auto"/>
        <w:rPr>
          <w:rFonts w:cs="宋体"/>
          <w:lang w:val="zh-CN"/>
        </w:rPr>
      </w:pPr>
      <w:r w:rsidRPr="002440BA">
        <w:rPr>
          <w:rFonts w:cs="宋体" w:hint="eastAsia"/>
          <w:lang w:val="zh-CN"/>
        </w:rPr>
        <w:t>对废弃场地</w:t>
      </w:r>
      <w:r>
        <w:rPr>
          <w:rFonts w:cs="宋体" w:hint="eastAsia"/>
          <w:lang w:val="zh-CN"/>
        </w:rPr>
        <w:t>采取改造或改良等治理措施</w:t>
      </w:r>
      <w:r w:rsidRPr="002440BA">
        <w:rPr>
          <w:rFonts w:cs="宋体" w:hint="eastAsia"/>
          <w:lang w:val="zh-CN"/>
        </w:rPr>
        <w:t>：□是、□否</w:t>
      </w:r>
    </w:p>
    <w:p w:rsidR="00BF29B0" w:rsidRDefault="00BF29B0" w:rsidP="00BF29B0">
      <w:pPr>
        <w:tabs>
          <w:tab w:val="left" w:pos="2702"/>
        </w:tabs>
        <w:spacing w:line="288" w:lineRule="auto"/>
        <w:rPr>
          <w:rFonts w:cs="宋体"/>
          <w:lang w:val="zh-CN"/>
        </w:rPr>
      </w:pPr>
    </w:p>
    <w:p w:rsidR="00BF29B0" w:rsidRPr="002C2252" w:rsidRDefault="00BF29B0" w:rsidP="00BF29B0">
      <w:pPr>
        <w:tabs>
          <w:tab w:val="left" w:pos="2702"/>
        </w:tabs>
        <w:spacing w:line="288" w:lineRule="auto"/>
        <w:rPr>
          <w:rFonts w:cs="宋体"/>
          <w:lang w:val="zh-CN"/>
        </w:rPr>
      </w:pPr>
      <w:r w:rsidRPr="002C2252">
        <w:rPr>
          <w:rFonts w:cs="宋体" w:hint="eastAsia"/>
          <w:lang w:val="zh-CN"/>
        </w:rPr>
        <w:t>简要说明</w:t>
      </w:r>
      <w:r>
        <w:rPr>
          <w:rFonts w:cs="宋体" w:hint="eastAsia"/>
          <w:lang w:val="zh-CN"/>
        </w:rPr>
        <w:t>原</w:t>
      </w:r>
      <w:r w:rsidRPr="002C2252">
        <w:rPr>
          <w:rFonts w:cs="宋体" w:hint="eastAsia"/>
          <w:lang w:val="zh-CN"/>
        </w:rPr>
        <w:t>废弃场地情况以及相应的</w:t>
      </w:r>
      <w:r>
        <w:rPr>
          <w:rFonts w:cs="宋体" w:hint="eastAsia"/>
          <w:lang w:val="zh-CN"/>
        </w:rPr>
        <w:t>治理</w:t>
      </w:r>
      <w:r w:rsidRPr="002C2252">
        <w:rPr>
          <w:rFonts w:cs="宋体" w:hint="eastAsia"/>
          <w:lang w:val="zh-CN"/>
        </w:rPr>
        <w:t>措施：（</w:t>
      </w:r>
      <w:r w:rsidRPr="002C2252">
        <w:rPr>
          <w:rFonts w:cs="宋体"/>
          <w:lang w:val="zh-CN"/>
        </w:rPr>
        <w:t>200</w:t>
      </w:r>
      <w:r w:rsidRPr="002C2252">
        <w:rPr>
          <w:rFonts w:cs="宋体" w:hint="eastAsia"/>
          <w:lang w:val="zh-CN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BF29B0" w:rsidTr="00B87D82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B0" w:rsidRDefault="00BF29B0" w:rsidP="00B87D82">
            <w:pPr>
              <w:pStyle w:val="a6"/>
              <w:spacing w:line="288" w:lineRule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BF29B0" w:rsidRDefault="00BF29B0" w:rsidP="00BF29B0">
      <w:pPr>
        <w:spacing w:line="288" w:lineRule="auto"/>
        <w:rPr>
          <w:rFonts w:ascii="宋体" w:hAnsi="宋体" w:cs="宋体"/>
          <w:u w:val="single"/>
        </w:rPr>
      </w:pPr>
    </w:p>
    <w:p w:rsidR="00BF29B0" w:rsidRPr="002440BA" w:rsidRDefault="00BF29B0" w:rsidP="00BF29B0">
      <w:pPr>
        <w:spacing w:line="288" w:lineRule="auto"/>
        <w:rPr>
          <w:rFonts w:ascii="宋体" w:hAnsi="宋体"/>
        </w:rPr>
      </w:pPr>
      <w:r w:rsidRPr="002440BA">
        <w:rPr>
          <w:rFonts w:hint="eastAsia"/>
        </w:rPr>
        <w:t>2</w:t>
      </w:r>
      <w:r w:rsidRPr="002440BA">
        <w:t>、</w:t>
      </w:r>
      <w:r w:rsidRPr="002440BA">
        <w:rPr>
          <w:rFonts w:ascii="宋体" w:hAnsi="宋体" w:hint="eastAsia"/>
        </w:rPr>
        <w:t>项目</w:t>
      </w:r>
      <w:r>
        <w:rPr>
          <w:rFonts w:ascii="宋体" w:hAnsi="宋体" w:hint="eastAsia"/>
        </w:rPr>
        <w:t>充分</w:t>
      </w:r>
      <w:r w:rsidRPr="002440BA">
        <w:rPr>
          <w:rFonts w:ascii="宋体" w:hAnsi="宋体" w:hint="eastAsia"/>
        </w:rPr>
        <w:t>利用</w:t>
      </w:r>
      <w:r>
        <w:rPr>
          <w:rFonts w:ascii="宋体" w:hAnsi="宋体" w:hint="eastAsia"/>
        </w:rPr>
        <w:t>尚可使用</w:t>
      </w:r>
      <w:r w:rsidRPr="002440BA">
        <w:rPr>
          <w:rFonts w:ascii="宋体" w:hAnsi="宋体" w:hint="eastAsia"/>
        </w:rPr>
        <w:t>的旧建筑：</w:t>
      </w:r>
      <w:r w:rsidRPr="002440BA">
        <w:rPr>
          <w:rFonts w:ascii="宋体" w:hAnsi="宋体" w:hint="eastAsia"/>
          <w:bCs/>
          <w:lang w:val="zh-CN"/>
        </w:rPr>
        <w:t>□</w:t>
      </w:r>
      <w:r w:rsidRPr="002440BA">
        <w:rPr>
          <w:rFonts w:cs="宋体" w:hint="eastAsia"/>
        </w:rPr>
        <w:t>是、</w:t>
      </w:r>
      <w:r w:rsidRPr="002440BA">
        <w:rPr>
          <w:rFonts w:ascii="宋体" w:hAnsi="宋体" w:hint="eastAsia"/>
          <w:bCs/>
          <w:lang w:val="zh-CN"/>
        </w:rPr>
        <w:t>□</w:t>
      </w:r>
      <w:r w:rsidRPr="002440BA">
        <w:rPr>
          <w:rFonts w:cs="宋体" w:hint="eastAsia"/>
        </w:rPr>
        <w:t>否</w:t>
      </w:r>
    </w:p>
    <w:p w:rsidR="00BF29B0" w:rsidRPr="002440BA" w:rsidRDefault="00BF29B0" w:rsidP="00BF29B0">
      <w:pPr>
        <w:spacing w:line="288" w:lineRule="auto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如</w:t>
      </w:r>
      <w:r w:rsidRPr="002440BA">
        <w:rPr>
          <w:rFonts w:cs="宋体" w:hint="eastAsia"/>
          <w:lang w:val="zh-CN"/>
        </w:rPr>
        <w:t>“是”，则保留和利用的旧建筑部分为：</w:t>
      </w:r>
      <w:r>
        <w:rPr>
          <w:rFonts w:cs="宋体" w:hint="eastAsia"/>
          <w:u w:val="single"/>
          <w:lang w:val="zh-CN"/>
        </w:rPr>
        <w:t xml:space="preserve">                     </w:t>
      </w:r>
    </w:p>
    <w:p w:rsidR="00BF29B0" w:rsidRDefault="00BF29B0" w:rsidP="00BF29B0">
      <w:pPr>
        <w:spacing w:line="288" w:lineRule="auto"/>
      </w:pPr>
    </w:p>
    <w:p w:rsidR="00BF29B0" w:rsidRPr="007324C9" w:rsidRDefault="00BF29B0" w:rsidP="00BF29B0">
      <w:pPr>
        <w:spacing w:line="288" w:lineRule="auto"/>
        <w:rPr>
          <w:b/>
          <w:lang w:val="zh-CN"/>
        </w:rPr>
      </w:pPr>
      <w:r w:rsidRPr="007324C9">
        <w:rPr>
          <w:rFonts w:hint="eastAsia"/>
        </w:rPr>
        <w:t>简述</w:t>
      </w:r>
      <w:r>
        <w:rPr>
          <w:rFonts w:hint="eastAsia"/>
        </w:rPr>
        <w:t>原有旧建筑的现状及如何对旧建筑进行再利用</w:t>
      </w:r>
      <w:r w:rsidRPr="007324C9">
        <w:rPr>
          <w:rFonts w:hint="eastAsia"/>
        </w:rPr>
        <w:t>。（</w:t>
      </w:r>
      <w:r w:rsidRPr="007324C9">
        <w:t>200</w:t>
      </w:r>
      <w:r w:rsidRPr="007324C9">
        <w:rPr>
          <w:rFonts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BF29B0" w:rsidTr="00B87D82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B0" w:rsidRDefault="00BF29B0" w:rsidP="00B87D82">
            <w:pPr>
              <w:pStyle w:val="a6"/>
              <w:spacing w:line="288" w:lineRule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BF29B0" w:rsidRPr="00520114" w:rsidRDefault="00BF29B0" w:rsidP="00BF29B0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）证明材料</w:t>
      </w:r>
    </w:p>
    <w:p w:rsidR="00BF29B0" w:rsidRDefault="00BF29B0" w:rsidP="00BF29B0">
      <w:pPr>
        <w:adjustRightInd w:val="0"/>
        <w:snapToGrid w:val="0"/>
        <w:spacing w:line="288" w:lineRule="auto"/>
        <w:ind w:leftChars="-52" w:left="-109" w:firstLineChars="50" w:firstLine="105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提交材料及要求：</w:t>
      </w:r>
    </w:p>
    <w:p w:rsidR="00BF29B0" w:rsidRDefault="00BF29B0" w:rsidP="00BF29B0">
      <w:pPr>
        <w:pStyle w:val="a5"/>
        <w:numPr>
          <w:ilvl w:val="0"/>
          <w:numId w:val="1"/>
        </w:numPr>
        <w:spacing w:line="288" w:lineRule="auto"/>
        <w:ind w:left="0" w:firstLineChars="0" w:firstLine="0"/>
      </w:pPr>
      <w:r>
        <w:rPr>
          <w:rFonts w:hint="eastAsia"/>
        </w:rPr>
        <w:t>对废弃场地利用：提供场地地</w:t>
      </w:r>
      <w:r w:rsidRPr="006C1514">
        <w:rPr>
          <w:rFonts w:hint="eastAsia"/>
        </w:rPr>
        <w:t>形图</w:t>
      </w:r>
      <w:r>
        <w:rPr>
          <w:rFonts w:hint="eastAsia"/>
        </w:rPr>
        <w:t>、</w:t>
      </w:r>
      <w:r w:rsidRPr="00461AC9">
        <w:rPr>
          <w:rFonts w:hint="eastAsia"/>
        </w:rPr>
        <w:t>环评报告、场地环境检测</w:t>
      </w:r>
      <w:r w:rsidRPr="00A607CD">
        <w:rPr>
          <w:rFonts w:hint="eastAsia"/>
        </w:rPr>
        <w:t>评估</w:t>
      </w:r>
      <w:r w:rsidRPr="00461AC9">
        <w:rPr>
          <w:rFonts w:hint="eastAsia"/>
        </w:rPr>
        <w:t>报告</w:t>
      </w:r>
      <w:r>
        <w:rPr>
          <w:rFonts w:hint="eastAsia"/>
        </w:rPr>
        <w:t>以及治理方案；</w:t>
      </w:r>
    </w:p>
    <w:p w:rsidR="00BF29B0" w:rsidRPr="00461AC9" w:rsidRDefault="00BF29B0" w:rsidP="00BF29B0">
      <w:pPr>
        <w:pStyle w:val="a5"/>
        <w:numPr>
          <w:ilvl w:val="0"/>
          <w:numId w:val="1"/>
        </w:numPr>
        <w:spacing w:line="288" w:lineRule="auto"/>
        <w:ind w:left="0" w:firstLineChars="0" w:firstLine="0"/>
      </w:pPr>
      <w:r>
        <w:rPr>
          <w:rFonts w:hint="eastAsia"/>
        </w:rPr>
        <w:t>对旧建筑利用：提供</w:t>
      </w:r>
      <w:r w:rsidRPr="00461AC9">
        <w:rPr>
          <w:rFonts w:hint="eastAsia"/>
        </w:rPr>
        <w:t>旧建筑利用专项报告</w:t>
      </w:r>
      <w:r>
        <w:rPr>
          <w:rFonts w:hint="eastAsia"/>
        </w:rPr>
        <w:t>、结构安全鉴定报告、</w:t>
      </w:r>
      <w:r w:rsidRPr="00A45238">
        <w:rPr>
          <w:rFonts w:hint="eastAsia"/>
        </w:rPr>
        <w:t>建筑设计</w:t>
      </w:r>
      <w:r>
        <w:rPr>
          <w:rFonts w:hint="eastAsia"/>
        </w:rPr>
        <w:t>相关</w:t>
      </w:r>
      <w:r w:rsidRPr="00A45238">
        <w:rPr>
          <w:rFonts w:hint="eastAsia"/>
        </w:rPr>
        <w:t>图纸及文件</w:t>
      </w:r>
      <w:r>
        <w:rPr>
          <w:rFonts w:hint="eastAsia"/>
        </w:rPr>
        <w:t>。</w:t>
      </w:r>
    </w:p>
    <w:p w:rsidR="00BF29B0" w:rsidRDefault="00BF29B0" w:rsidP="00BF29B0">
      <w:pPr>
        <w:pStyle w:val="a6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</w:p>
    <w:p w:rsidR="00BF29B0" w:rsidRDefault="00BF29B0" w:rsidP="00BF29B0">
      <w:pPr>
        <w:pStyle w:val="a6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BF29B0" w:rsidTr="00B87D82">
        <w:trPr>
          <w:cantSplit/>
          <w:trHeight w:val="1474"/>
          <w:jc w:val="center"/>
        </w:trPr>
        <w:tc>
          <w:tcPr>
            <w:tcW w:w="8334" w:type="dxa"/>
          </w:tcPr>
          <w:p w:rsidR="00BF29B0" w:rsidRDefault="00BF29B0" w:rsidP="00B87D82">
            <w:pPr>
              <w:spacing w:line="288" w:lineRule="auto"/>
              <w:rPr>
                <w:rFonts w:ascii="宋体" w:hAnsi="宋体"/>
              </w:rPr>
            </w:pPr>
          </w:p>
        </w:tc>
      </w:tr>
    </w:tbl>
    <w:p w:rsidR="00BF29B0" w:rsidRDefault="00BF29B0" w:rsidP="00BF29B0">
      <w:pPr>
        <w:pStyle w:val="2"/>
        <w:rPr>
          <w:rFonts w:ascii="宋体" w:hAnsi="宋体"/>
        </w:rPr>
        <w:sectPr w:rsidR="00BF29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E53A0" w:rsidRDefault="005E53A0" w:rsidP="005E53A0">
      <w:pPr>
        <w:pStyle w:val="2"/>
        <w:jc w:val="both"/>
        <w:rPr>
          <w:rFonts w:ascii="宋体" w:hAnsi="宋体" w:hint="eastAsia"/>
        </w:rPr>
        <w:sectPr w:rsidR="005E53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F4B4A" w:rsidRDefault="004A3602"/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602" w:rsidRDefault="004A3602" w:rsidP="005E53A0">
      <w:r>
        <w:separator/>
      </w:r>
    </w:p>
  </w:endnote>
  <w:endnote w:type="continuationSeparator" w:id="0">
    <w:p w:rsidR="004A3602" w:rsidRDefault="004A3602" w:rsidP="005E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602" w:rsidRDefault="004A3602" w:rsidP="005E53A0">
      <w:r>
        <w:separator/>
      </w:r>
    </w:p>
  </w:footnote>
  <w:footnote w:type="continuationSeparator" w:id="0">
    <w:p w:rsidR="004A3602" w:rsidRDefault="004A3602" w:rsidP="005E5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03067"/>
    <w:multiLevelType w:val="hybridMultilevel"/>
    <w:tmpl w:val="550E8A62"/>
    <w:lvl w:ilvl="0" w:tplc="DC58C5CE">
      <w:start w:val="1"/>
      <w:numFmt w:val="decimal"/>
      <w:lvlText w:val="%1、"/>
      <w:lvlJc w:val="left"/>
      <w:pPr>
        <w:ind w:left="842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 w15:restartNumberingAfterBreak="0">
    <w:nsid w:val="71D84D36"/>
    <w:multiLevelType w:val="multilevel"/>
    <w:tmpl w:val="C21070B8"/>
    <w:lvl w:ilvl="0">
      <w:start w:val="1"/>
      <w:numFmt w:val="decimal"/>
      <w:lvlText w:val="%1、"/>
      <w:lvlJc w:val="left"/>
      <w:pPr>
        <w:ind w:left="41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3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5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7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09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1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3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5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76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BE"/>
    <w:rsid w:val="0036396F"/>
    <w:rsid w:val="004A3602"/>
    <w:rsid w:val="005A26BE"/>
    <w:rsid w:val="005E53A0"/>
    <w:rsid w:val="00BE0BA5"/>
    <w:rsid w:val="00BF29B0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4029C2-A616-4966-846E-1922BC75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3A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Char"/>
    <w:unhideWhenUsed/>
    <w:qFormat/>
    <w:rsid w:val="005E53A0"/>
    <w:pPr>
      <w:keepNext/>
      <w:keepLines/>
      <w:spacing w:before="240" w:after="240"/>
      <w:jc w:val="center"/>
      <w:outlineLvl w:val="1"/>
    </w:pPr>
    <w:rPr>
      <w:rFonts w:eastAsia="黑体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5E53A0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3A0"/>
    <w:rPr>
      <w:sz w:val="18"/>
      <w:szCs w:val="18"/>
    </w:rPr>
  </w:style>
  <w:style w:type="character" w:customStyle="1" w:styleId="2Char">
    <w:name w:val="标题 2 Char"/>
    <w:basedOn w:val="a0"/>
    <w:link w:val="2"/>
    <w:rsid w:val="005E53A0"/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5E53A0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5E53A0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5E53A0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5E53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F4300-DA9E-4827-8F14-461C880E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3</cp:revision>
  <dcterms:created xsi:type="dcterms:W3CDTF">2017-11-13T08:12:00Z</dcterms:created>
  <dcterms:modified xsi:type="dcterms:W3CDTF">2017-11-13T08:18:00Z</dcterms:modified>
</cp:coreProperties>
</file>