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1C1" w:rsidRDefault="00A341C1" w:rsidP="00A341C1">
      <w:pPr>
        <w:pStyle w:val="4"/>
        <w:rPr>
          <w:rFonts w:hint="eastAsia"/>
        </w:rPr>
      </w:pPr>
      <w:r>
        <w:t xml:space="preserve">4.2.3 </w:t>
      </w:r>
      <w:r>
        <w:rPr>
          <w:rFonts w:hint="eastAsia"/>
        </w:rPr>
        <w:t>合理开发利用地下空间。</w:t>
      </w:r>
    </w:p>
    <w:p w:rsidR="00A341C1" w:rsidRDefault="00A341C1" w:rsidP="00A341C1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 xml:space="preserve">1)  </w:t>
      </w:r>
      <w:r>
        <w:rPr>
          <w:rFonts w:hint="eastAsia"/>
          <w:b/>
          <w:lang w:val="zh-CN"/>
        </w:rPr>
        <w:t>参评情况</w:t>
      </w:r>
    </w:p>
    <w:p w:rsidR="00A341C1" w:rsidRDefault="00A341C1" w:rsidP="00A341C1">
      <w:pPr>
        <w:spacing w:line="288" w:lineRule="auto"/>
        <w:rPr>
          <w:rFonts w:ascii="宋体" w:hAnsi="宋体"/>
        </w:rPr>
      </w:pPr>
      <w:r>
        <w:rPr>
          <w:rFonts w:ascii="宋体" w:hAnsi="宋体" w:cs="宋体" w:hint="eastAsia"/>
          <w:b/>
        </w:rPr>
        <w:t>□</w:t>
      </w:r>
      <w:r>
        <w:rPr>
          <w:rFonts w:ascii="宋体" w:hAnsi="宋体" w:cs="宋体" w:hint="eastAsia"/>
        </w:rPr>
        <w:t>参评</w:t>
      </w:r>
      <w:r>
        <w:rPr>
          <w:rFonts w:ascii="宋体" w:hAnsi="宋体" w:hint="eastAsia"/>
        </w:rPr>
        <w:t>；</w:t>
      </w:r>
      <w:r>
        <w:rPr>
          <w:rFonts w:ascii="宋体" w:hAnsi="宋体" w:hint="eastAsia"/>
          <w:b/>
          <w:bCs/>
          <w:lang w:val="zh-CN"/>
        </w:rPr>
        <w:t>□</w:t>
      </w:r>
      <w:r>
        <w:rPr>
          <w:rFonts w:ascii="宋体" w:hAnsi="宋体" w:hint="eastAsia"/>
        </w:rPr>
        <w:t>不参评</w:t>
      </w:r>
    </w:p>
    <w:p w:rsidR="00A341C1" w:rsidRDefault="00A341C1" w:rsidP="00A341C1">
      <w:pPr>
        <w:spacing w:line="288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不参评条件：</w:t>
      </w:r>
    </w:p>
    <w:p w:rsidR="00A341C1" w:rsidRDefault="00A341C1" w:rsidP="00A341C1">
      <w:pPr>
        <w:spacing w:line="288" w:lineRule="auto"/>
        <w:rPr>
          <w:rFonts w:asciiTheme="minorEastAsia" w:eastAsiaTheme="minorEastAsia" w:hAnsiTheme="minorEastAsia"/>
          <w:lang w:val="zh-CN"/>
        </w:rPr>
      </w:pPr>
      <w:r>
        <w:rPr>
          <w:rFonts w:asciiTheme="minorEastAsia" w:eastAsiaTheme="minorEastAsia" w:hAnsiTheme="minorEastAsia" w:hint="eastAsia"/>
          <w:b/>
        </w:rPr>
        <w:t>□</w:t>
      </w:r>
      <w:r>
        <w:rPr>
          <w:rFonts w:ascii="宋体" w:hAnsi="宋体" w:cs="宋体" w:hint="eastAsia"/>
        </w:rPr>
        <w:t>场地区位、地质等条件不适宜开发地下空间</w:t>
      </w:r>
    </w:p>
    <w:p w:rsidR="00A341C1" w:rsidRDefault="00A341C1" w:rsidP="00A341C1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 xml:space="preserve">2)  </w:t>
      </w:r>
      <w:r>
        <w:rPr>
          <w:rFonts w:hint="eastAsia"/>
          <w:b/>
          <w:lang w:val="zh-CN"/>
        </w:rPr>
        <w:t>得分自评</w:t>
      </w:r>
    </w:p>
    <w:p w:rsidR="00A341C1" w:rsidRDefault="00A341C1" w:rsidP="00A341C1">
      <w:pPr>
        <w:spacing w:line="288" w:lineRule="auto"/>
        <w:rPr>
          <w:b/>
          <w:kern w:val="0"/>
        </w:rPr>
      </w:pPr>
      <w:r>
        <w:rPr>
          <w:rFonts w:ascii="宋体" w:hAnsi="宋体" w:hint="eastAsia"/>
          <w:b/>
        </w:rPr>
        <w:t xml:space="preserve">□ </w:t>
      </w:r>
      <w:r>
        <w:rPr>
          <w:rFonts w:hint="eastAsia"/>
          <w:b/>
          <w:kern w:val="0"/>
        </w:rPr>
        <w:t>居住建筑</w:t>
      </w:r>
    </w:p>
    <w:tbl>
      <w:tblPr>
        <w:tblStyle w:val="a7"/>
        <w:tblW w:w="4857" w:type="pct"/>
        <w:jc w:val="center"/>
        <w:tblLook w:val="04A0" w:firstRow="1" w:lastRow="0" w:firstColumn="1" w:lastColumn="0" w:noHBand="0" w:noVBand="1"/>
      </w:tblPr>
      <w:tblGrid>
        <w:gridCol w:w="699"/>
        <w:gridCol w:w="3307"/>
        <w:gridCol w:w="2120"/>
        <w:gridCol w:w="998"/>
        <w:gridCol w:w="935"/>
      </w:tblGrid>
      <w:tr w:rsidR="00A341C1" w:rsidTr="001B1638">
        <w:trPr>
          <w:trHeight w:val="340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评价内容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spacing w:line="288" w:lineRule="auto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评价分值（分）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spacing w:line="288" w:lineRule="auto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自评得分（分）</w:t>
            </w:r>
          </w:p>
        </w:tc>
      </w:tr>
      <w:tr w:rsidR="00A341C1" w:rsidTr="001B1638">
        <w:trPr>
          <w:trHeight w:val="340"/>
          <w:jc w:val="center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地下建筑面积与地上建筑面积的比率</w:t>
            </w:r>
            <w:r>
              <w:rPr>
                <w:rFonts w:cs="宋体"/>
                <w:bCs/>
                <w:i/>
                <w:sz w:val="18"/>
                <w:szCs w:val="18"/>
              </w:rPr>
              <w:t>R</w:t>
            </w:r>
            <w:r>
              <w:rPr>
                <w:rFonts w:cs="宋体"/>
                <w:bCs/>
                <w:sz w:val="18"/>
                <w:szCs w:val="18"/>
              </w:rPr>
              <w:t>r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5%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≤</w:t>
            </w:r>
            <w:r>
              <w:rPr>
                <w:bCs/>
                <w:i/>
                <w:sz w:val="18"/>
                <w:szCs w:val="18"/>
              </w:rPr>
              <w:t>R</w:t>
            </w:r>
            <w:r>
              <w:rPr>
                <w:rFonts w:cs="宋体"/>
                <w:bCs/>
                <w:sz w:val="18"/>
                <w:szCs w:val="18"/>
              </w:rPr>
              <w:t>r</w:t>
            </w:r>
            <w:r>
              <w:rPr>
                <w:rFonts w:hint="eastAsia"/>
                <w:bCs/>
                <w:sz w:val="18"/>
                <w:szCs w:val="18"/>
              </w:rPr>
              <w:t>＜</w:t>
            </w:r>
            <w:r>
              <w:rPr>
                <w:rFonts w:eastAsiaTheme="minorEastAsia" w:hint="eastAsia"/>
                <w:bCs/>
                <w:sz w:val="18"/>
                <w:szCs w:val="18"/>
              </w:rPr>
              <w:t>15</w:t>
            </w:r>
            <w:r>
              <w:rPr>
                <w:rFonts w:eastAsiaTheme="minorEastAsia"/>
                <w:bCs/>
                <w:sz w:val="18"/>
                <w:szCs w:val="18"/>
              </w:rPr>
              <w:t>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A341C1" w:rsidTr="001B1638">
        <w:trPr>
          <w:trHeight w:val="340"/>
          <w:jc w:val="center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15</w:t>
            </w:r>
            <w:r>
              <w:rPr>
                <w:bCs/>
                <w:sz w:val="18"/>
                <w:szCs w:val="18"/>
              </w:rPr>
              <w:t>%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≤</w:t>
            </w:r>
            <w:r>
              <w:rPr>
                <w:bCs/>
                <w:i/>
                <w:sz w:val="18"/>
                <w:szCs w:val="18"/>
              </w:rPr>
              <w:t>R</w:t>
            </w:r>
            <w:r>
              <w:rPr>
                <w:rFonts w:cs="宋体"/>
                <w:bCs/>
                <w:sz w:val="18"/>
                <w:szCs w:val="18"/>
              </w:rPr>
              <w:t>r</w:t>
            </w:r>
            <w:r>
              <w:rPr>
                <w:rFonts w:hint="eastAsia"/>
                <w:bCs/>
                <w:sz w:val="18"/>
                <w:szCs w:val="18"/>
              </w:rPr>
              <w:t>＜</w:t>
            </w:r>
            <w:r>
              <w:rPr>
                <w:rFonts w:eastAsiaTheme="minorEastAsia" w:hint="eastAsia"/>
                <w:bCs/>
                <w:sz w:val="18"/>
                <w:szCs w:val="18"/>
              </w:rPr>
              <w:t>2</w:t>
            </w:r>
            <w:r>
              <w:rPr>
                <w:rFonts w:eastAsiaTheme="minorEastAsia"/>
                <w:bCs/>
                <w:sz w:val="18"/>
                <w:szCs w:val="18"/>
              </w:rPr>
              <w:t>5%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A341C1" w:rsidTr="001B1638">
        <w:trPr>
          <w:trHeight w:val="340"/>
          <w:jc w:val="center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R</w:t>
            </w:r>
            <w:r>
              <w:rPr>
                <w:rFonts w:cs="宋体"/>
                <w:bCs/>
                <w:sz w:val="18"/>
                <w:szCs w:val="18"/>
              </w:rPr>
              <w:t>r</w:t>
            </w:r>
            <w:r>
              <w:rPr>
                <w:rFonts w:hint="eastAsia"/>
                <w:bCs/>
                <w:sz w:val="18"/>
                <w:szCs w:val="18"/>
              </w:rPr>
              <w:t>≥</w:t>
            </w:r>
            <w:r>
              <w:rPr>
                <w:rFonts w:eastAsiaTheme="minorEastAsia" w:hint="eastAsia"/>
                <w:bCs/>
                <w:sz w:val="18"/>
                <w:szCs w:val="18"/>
              </w:rPr>
              <w:t>2</w:t>
            </w:r>
            <w:r>
              <w:rPr>
                <w:rFonts w:eastAsiaTheme="minorEastAsia"/>
                <w:bCs/>
                <w:sz w:val="18"/>
                <w:szCs w:val="18"/>
              </w:rPr>
              <w:t>5%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A341C1" w:rsidTr="001B1638">
        <w:trPr>
          <w:trHeight w:val="340"/>
          <w:jc w:val="center"/>
        </w:trPr>
        <w:tc>
          <w:tcPr>
            <w:tcW w:w="3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总分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A341C1" w:rsidRDefault="00A341C1" w:rsidP="00A341C1">
      <w:pPr>
        <w:spacing w:line="288" w:lineRule="auto"/>
        <w:rPr>
          <w:b/>
          <w:bCs/>
          <w:lang w:val="zh-CN"/>
        </w:rPr>
      </w:pPr>
    </w:p>
    <w:p w:rsidR="00A341C1" w:rsidRDefault="00A341C1" w:rsidP="00A341C1">
      <w:pPr>
        <w:spacing w:line="288" w:lineRule="auto"/>
        <w:rPr>
          <w:b/>
          <w:bCs/>
          <w:lang w:val="zh-CN"/>
        </w:rPr>
      </w:pPr>
      <w:r>
        <w:rPr>
          <w:rFonts w:ascii="宋体" w:hAnsi="宋体" w:hint="eastAsia"/>
          <w:b/>
        </w:rPr>
        <w:t xml:space="preserve">□ </w:t>
      </w:r>
      <w:r>
        <w:rPr>
          <w:rFonts w:hint="eastAsia"/>
          <w:b/>
          <w:bCs/>
          <w:lang w:val="zh-CN"/>
        </w:rPr>
        <w:t>公共建筑</w:t>
      </w:r>
    </w:p>
    <w:tbl>
      <w:tblPr>
        <w:tblStyle w:val="a7"/>
        <w:tblW w:w="4887" w:type="pct"/>
        <w:jc w:val="center"/>
        <w:tblLook w:val="04A0" w:firstRow="1" w:lastRow="0" w:firstColumn="1" w:lastColumn="0" w:noHBand="0" w:noVBand="1"/>
      </w:tblPr>
      <w:tblGrid>
        <w:gridCol w:w="755"/>
        <w:gridCol w:w="3534"/>
        <w:gridCol w:w="1979"/>
        <w:gridCol w:w="921"/>
        <w:gridCol w:w="920"/>
      </w:tblGrid>
      <w:tr w:rsidR="00A341C1" w:rsidTr="001B1638">
        <w:trPr>
          <w:trHeight w:val="34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评价内容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spacing w:line="288" w:lineRule="auto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评价分值（分）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spacing w:line="288" w:lineRule="auto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自评得分（分）</w:t>
            </w:r>
          </w:p>
        </w:tc>
      </w:tr>
      <w:tr w:rsidR="00A341C1" w:rsidTr="001B1638">
        <w:trPr>
          <w:trHeight w:val="340"/>
          <w:jc w:val="center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rPr>
                <w:rFonts w:cs="宋体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地下建筑面积与总用地面积之比</w:t>
            </w:r>
            <w:r>
              <w:rPr>
                <w:rFonts w:cs="宋体"/>
                <w:bCs/>
                <w:i/>
                <w:sz w:val="18"/>
                <w:szCs w:val="18"/>
              </w:rPr>
              <w:t>R</w:t>
            </w:r>
            <w:r>
              <w:rPr>
                <w:rFonts w:cs="宋体"/>
                <w:bCs/>
                <w:sz w:val="18"/>
                <w:szCs w:val="18"/>
              </w:rPr>
              <w:t>p</w:t>
            </w:r>
            <w:r>
              <w:rPr>
                <w:rFonts w:cs="宋体"/>
                <w:bCs/>
                <w:sz w:val="18"/>
                <w:szCs w:val="18"/>
                <w:vertAlign w:val="subscript"/>
              </w:rPr>
              <w:t>1</w:t>
            </w:r>
          </w:p>
          <w:p w:rsidR="00A341C1" w:rsidRDefault="00A341C1" w:rsidP="001B1638">
            <w:pPr>
              <w:pStyle w:val="a6"/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地下一层建筑面积与总用地面积的比率</w:t>
            </w:r>
            <w:r>
              <w:rPr>
                <w:rFonts w:cs="宋体"/>
                <w:bCs/>
                <w:i/>
                <w:sz w:val="18"/>
                <w:szCs w:val="18"/>
              </w:rPr>
              <w:t>R</w:t>
            </w:r>
            <w:r>
              <w:rPr>
                <w:rFonts w:cs="宋体"/>
                <w:bCs/>
                <w:sz w:val="18"/>
                <w:szCs w:val="18"/>
              </w:rPr>
              <w:t>p</w:t>
            </w:r>
            <w:r>
              <w:rPr>
                <w:rFonts w:cs="宋体"/>
                <w:bCs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R</w:t>
            </w:r>
            <w:r>
              <w:rPr>
                <w:rFonts w:cs="宋体"/>
                <w:bCs/>
                <w:sz w:val="18"/>
                <w:szCs w:val="18"/>
              </w:rPr>
              <w:t>p</w:t>
            </w:r>
            <w:r>
              <w:rPr>
                <w:rFonts w:cs="宋体"/>
                <w:bCs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≥</w:t>
            </w:r>
            <w:r>
              <w:rPr>
                <w:rFonts w:eastAsiaTheme="minorEastAsia"/>
                <w:bCs/>
                <w:sz w:val="18"/>
                <w:szCs w:val="18"/>
              </w:rPr>
              <w:t>0.5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A341C1" w:rsidTr="001B1638">
        <w:trPr>
          <w:trHeight w:val="340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R</w:t>
            </w:r>
            <w:r>
              <w:rPr>
                <w:rFonts w:cs="宋体"/>
                <w:bCs/>
                <w:sz w:val="18"/>
                <w:szCs w:val="18"/>
              </w:rPr>
              <w:t>p</w:t>
            </w:r>
            <w:r>
              <w:rPr>
                <w:rFonts w:cs="宋体"/>
                <w:bCs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≥</w:t>
            </w:r>
            <w:r>
              <w:rPr>
                <w:rFonts w:eastAsiaTheme="minorEastAsia"/>
                <w:bCs/>
                <w:sz w:val="18"/>
                <w:szCs w:val="18"/>
              </w:rPr>
              <w:t>0.7</w:t>
            </w:r>
            <w:r>
              <w:rPr>
                <w:rFonts w:eastAsiaTheme="minorEastAsia" w:hint="eastAsia"/>
                <w:bCs/>
                <w:sz w:val="18"/>
                <w:szCs w:val="18"/>
              </w:rPr>
              <w:t>且</w:t>
            </w:r>
            <w:r>
              <w:rPr>
                <w:bCs/>
                <w:i/>
                <w:sz w:val="18"/>
                <w:szCs w:val="18"/>
              </w:rPr>
              <w:t>R</w:t>
            </w:r>
            <w:r>
              <w:rPr>
                <w:rFonts w:cs="宋体"/>
                <w:bCs/>
                <w:sz w:val="18"/>
                <w:szCs w:val="18"/>
              </w:rPr>
              <w:t>p</w:t>
            </w:r>
            <w:r>
              <w:rPr>
                <w:rFonts w:cs="宋体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＜</w:t>
            </w:r>
            <w:r>
              <w:rPr>
                <w:bCs/>
                <w:sz w:val="18"/>
                <w:szCs w:val="18"/>
              </w:rPr>
              <w:t>70%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A341C1" w:rsidTr="001B1638">
        <w:trPr>
          <w:trHeight w:val="340"/>
          <w:jc w:val="center"/>
        </w:trPr>
        <w:tc>
          <w:tcPr>
            <w:tcW w:w="3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总分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C1" w:rsidRDefault="00A341C1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A341C1" w:rsidRDefault="00A341C1" w:rsidP="00A341C1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 xml:space="preserve">3)  </w:t>
      </w:r>
      <w:r>
        <w:rPr>
          <w:rFonts w:hint="eastAsia"/>
          <w:b/>
          <w:lang w:val="zh-CN"/>
        </w:rPr>
        <w:t>评价要点</w:t>
      </w:r>
    </w:p>
    <w:p w:rsidR="00A341C1" w:rsidRDefault="00A341C1" w:rsidP="00A341C1">
      <w:pPr>
        <w:tabs>
          <w:tab w:val="left" w:pos="2702"/>
        </w:tabs>
        <w:adjustRightInd w:val="0"/>
        <w:snapToGrid w:val="0"/>
        <w:spacing w:line="288" w:lineRule="auto"/>
        <w:rPr>
          <w:rFonts w:asciiTheme="minorEastAsia" w:eastAsiaTheme="minorEastAsia" w:hAnsiTheme="minorEastAsia"/>
          <w:lang w:val="zh-CN"/>
        </w:rPr>
      </w:pPr>
      <w:r>
        <w:rPr>
          <w:rFonts w:asciiTheme="minorEastAsia" w:eastAsiaTheme="minorEastAsia" w:hAnsiTheme="minorEastAsia" w:hint="eastAsia"/>
          <w:lang w:val="zh-CN"/>
        </w:rPr>
        <w:t>项目开发有地下空间：</w:t>
      </w:r>
      <w:r w:rsidRPr="007752FB">
        <w:rPr>
          <w:rFonts w:asciiTheme="minorEastAsia" w:eastAsiaTheme="minorEastAsia" w:hAnsiTheme="minorEastAsia" w:hint="eastAsia"/>
        </w:rPr>
        <w:t>□</w:t>
      </w:r>
      <w:r w:rsidRPr="007752FB">
        <w:rPr>
          <w:rFonts w:asciiTheme="minorEastAsia" w:eastAsiaTheme="minorEastAsia" w:hAnsiTheme="minorEastAsia" w:hint="eastAsia"/>
          <w:lang w:val="zh-CN"/>
        </w:rPr>
        <w:t>是、</w:t>
      </w:r>
      <w:r w:rsidRPr="007752FB">
        <w:rPr>
          <w:rFonts w:asciiTheme="minorEastAsia" w:eastAsiaTheme="minorEastAsia" w:hAnsiTheme="minorEastAsia" w:hint="eastAsia"/>
        </w:rPr>
        <w:t>□</w:t>
      </w:r>
      <w:r w:rsidRPr="007752FB">
        <w:rPr>
          <w:rFonts w:asciiTheme="minorEastAsia" w:eastAsiaTheme="minorEastAsia" w:hAnsiTheme="minorEastAsia" w:hint="eastAsia"/>
          <w:lang w:val="zh-CN"/>
        </w:rPr>
        <w:t>否</w:t>
      </w:r>
    </w:p>
    <w:p w:rsidR="00A341C1" w:rsidRDefault="00A341C1" w:rsidP="00A341C1">
      <w:pPr>
        <w:tabs>
          <w:tab w:val="left" w:pos="2702"/>
        </w:tabs>
        <w:adjustRightInd w:val="0"/>
        <w:snapToGrid w:val="0"/>
        <w:spacing w:line="288" w:lineRule="auto"/>
        <w:rPr>
          <w:rFonts w:asciiTheme="minorEastAsia" w:eastAsiaTheme="minorEastAsia" w:hAnsiTheme="minorEastAsia"/>
          <w:b/>
          <w:lang w:val="zh-CN"/>
        </w:rPr>
      </w:pPr>
      <w:r>
        <w:rPr>
          <w:rFonts w:asciiTheme="minorEastAsia" w:eastAsiaTheme="minorEastAsia" w:hAnsiTheme="minorEastAsia" w:hint="eastAsia"/>
          <w:b/>
          <w:lang w:val="zh-CN"/>
        </w:rPr>
        <w:t>□ 居住建筑</w:t>
      </w:r>
    </w:p>
    <w:p w:rsidR="00A341C1" w:rsidRDefault="00A341C1" w:rsidP="00A341C1">
      <w:pPr>
        <w:tabs>
          <w:tab w:val="left" w:pos="2702"/>
        </w:tabs>
        <w:spacing w:line="288" w:lineRule="auto"/>
        <w:rPr>
          <w:rFonts w:asciiTheme="minorEastAsia" w:eastAsiaTheme="minorEastAsia" w:hAnsiTheme="minorEastAsia"/>
          <w:lang w:val="zh-CN"/>
        </w:rPr>
      </w:pPr>
      <w:r>
        <w:rPr>
          <w:rFonts w:asciiTheme="minorEastAsia" w:eastAsiaTheme="minorEastAsia" w:hAnsiTheme="minorEastAsia" w:hint="eastAsia"/>
          <w:lang w:val="zh-CN"/>
        </w:rPr>
        <w:t>项目总用地面积：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平方米</w:t>
      </w:r>
      <w:r>
        <w:rPr>
          <w:rFonts w:hint="eastAsia"/>
          <w:lang w:val="zh-CN"/>
        </w:rPr>
        <w:t>）</w:t>
      </w:r>
    </w:p>
    <w:p w:rsidR="00A341C1" w:rsidRDefault="00A341C1" w:rsidP="00A341C1">
      <w:pPr>
        <w:tabs>
          <w:tab w:val="left" w:pos="2702"/>
        </w:tabs>
        <w:spacing w:line="288" w:lineRule="auto"/>
        <w:rPr>
          <w:rFonts w:asciiTheme="minorEastAsia" w:eastAsiaTheme="minorEastAsia" w:hAnsiTheme="minorEastAsia"/>
          <w:lang w:val="zh-CN"/>
        </w:rPr>
      </w:pPr>
      <w:r>
        <w:rPr>
          <w:rFonts w:asciiTheme="minorEastAsia" w:eastAsiaTheme="minorEastAsia" w:hAnsiTheme="minorEastAsia" w:hint="eastAsia"/>
          <w:lang w:val="zh-CN"/>
        </w:rPr>
        <w:t>地上建筑面积：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平方米</w:t>
      </w:r>
      <w:r>
        <w:rPr>
          <w:rFonts w:hint="eastAsia"/>
          <w:lang w:val="zh-CN"/>
        </w:rPr>
        <w:t>），</w:t>
      </w:r>
      <w:r>
        <w:rPr>
          <w:rFonts w:asciiTheme="minorEastAsia" w:eastAsiaTheme="minorEastAsia" w:hAnsiTheme="minorEastAsia" w:hint="eastAsia"/>
          <w:lang w:val="zh-CN"/>
        </w:rPr>
        <w:t>地下建筑面积：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平方米</w:t>
      </w:r>
      <w:r>
        <w:rPr>
          <w:rFonts w:hint="eastAsia"/>
          <w:lang w:val="zh-CN"/>
        </w:rPr>
        <w:t>）</w:t>
      </w:r>
    </w:p>
    <w:p w:rsidR="00A341C1" w:rsidRDefault="00A341C1" w:rsidP="00A341C1">
      <w:pPr>
        <w:tabs>
          <w:tab w:val="left" w:pos="2702"/>
        </w:tabs>
        <w:spacing w:line="288" w:lineRule="auto"/>
        <w:rPr>
          <w:rFonts w:asciiTheme="minorEastAsia" w:eastAsiaTheme="minorEastAsia" w:hAnsiTheme="minorEastAsia"/>
          <w:lang w:val="zh-CN"/>
        </w:rPr>
      </w:pPr>
      <w:r>
        <w:rPr>
          <w:rFonts w:asciiTheme="minorEastAsia" w:eastAsiaTheme="minorEastAsia" w:hAnsiTheme="minorEastAsia" w:cs="宋体" w:hint="eastAsia"/>
          <w:bCs/>
        </w:rPr>
        <w:t>地下建筑面积与地上建筑面积的比率</w:t>
      </w:r>
      <w:r>
        <w:rPr>
          <w:rFonts w:asciiTheme="minorEastAsia" w:eastAsiaTheme="minorEastAsia" w:hAnsiTheme="minorEastAsia" w:hint="eastAsia"/>
          <w:lang w:val="zh-CN"/>
        </w:rPr>
        <w:t>为：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 </w:t>
      </w:r>
      <w:r w:rsidRPr="008C6C56">
        <w:rPr>
          <w:rFonts w:eastAsiaTheme="minorEastAsia"/>
          <w:lang w:val="zh-CN"/>
        </w:rPr>
        <w:t>（</w:t>
      </w:r>
      <w:r w:rsidRPr="008C6C56">
        <w:rPr>
          <w:rFonts w:eastAsiaTheme="minorEastAsia"/>
          <w:lang w:val="zh-CN"/>
        </w:rPr>
        <w:t>%</w:t>
      </w:r>
      <w:r w:rsidRPr="008C6C56">
        <w:rPr>
          <w:lang w:val="zh-CN"/>
        </w:rPr>
        <w:t>）</w:t>
      </w:r>
    </w:p>
    <w:p w:rsidR="00A341C1" w:rsidRDefault="00A341C1" w:rsidP="00A341C1">
      <w:pPr>
        <w:tabs>
          <w:tab w:val="left" w:pos="2702"/>
        </w:tabs>
        <w:spacing w:line="288" w:lineRule="auto"/>
        <w:rPr>
          <w:rFonts w:asciiTheme="minorEastAsia" w:eastAsiaTheme="minorEastAsia" w:hAnsiTheme="minorEastAsia"/>
          <w:u w:val="single"/>
          <w:lang w:val="zh-CN"/>
        </w:rPr>
      </w:pPr>
      <w:r>
        <w:rPr>
          <w:rFonts w:asciiTheme="minorEastAsia" w:eastAsiaTheme="minorEastAsia" w:hAnsiTheme="minorEastAsia" w:hint="eastAsia"/>
          <w:lang w:val="zh-CN"/>
        </w:rPr>
        <w:t>地下空间主要功能为：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    </w:t>
      </w:r>
    </w:p>
    <w:p w:rsidR="00A341C1" w:rsidRDefault="00A341C1" w:rsidP="00A341C1">
      <w:pPr>
        <w:tabs>
          <w:tab w:val="left" w:pos="2702"/>
        </w:tabs>
        <w:adjustRightInd w:val="0"/>
        <w:snapToGrid w:val="0"/>
        <w:spacing w:line="288" w:lineRule="auto"/>
        <w:rPr>
          <w:rFonts w:asciiTheme="minorEastAsia" w:eastAsiaTheme="minorEastAsia" w:hAnsiTheme="minorEastAsia"/>
          <w:lang w:val="zh-CN"/>
        </w:rPr>
      </w:pPr>
    </w:p>
    <w:p w:rsidR="00A341C1" w:rsidRDefault="00A341C1" w:rsidP="00A341C1">
      <w:pPr>
        <w:tabs>
          <w:tab w:val="left" w:pos="2702"/>
        </w:tabs>
        <w:adjustRightInd w:val="0"/>
        <w:snapToGrid w:val="0"/>
        <w:spacing w:line="288" w:lineRule="auto"/>
        <w:rPr>
          <w:rFonts w:asciiTheme="minorEastAsia" w:eastAsiaTheme="minorEastAsia" w:hAnsiTheme="minorEastAsia"/>
          <w:b/>
          <w:lang w:val="zh-CN"/>
        </w:rPr>
      </w:pPr>
      <w:r>
        <w:rPr>
          <w:rFonts w:asciiTheme="minorEastAsia" w:eastAsiaTheme="minorEastAsia" w:hAnsiTheme="minorEastAsia" w:hint="eastAsia"/>
          <w:b/>
          <w:lang w:val="zh-CN"/>
        </w:rPr>
        <w:t>□ 公共建筑</w:t>
      </w:r>
    </w:p>
    <w:p w:rsidR="00A341C1" w:rsidRDefault="00A341C1" w:rsidP="00A341C1">
      <w:pPr>
        <w:tabs>
          <w:tab w:val="left" w:pos="2702"/>
        </w:tabs>
        <w:spacing w:line="288" w:lineRule="auto"/>
        <w:rPr>
          <w:rFonts w:asciiTheme="minorEastAsia" w:eastAsiaTheme="minorEastAsia" w:hAnsiTheme="minorEastAsia"/>
          <w:lang w:val="zh-CN"/>
        </w:rPr>
      </w:pPr>
      <w:r>
        <w:rPr>
          <w:rFonts w:asciiTheme="minorEastAsia" w:eastAsiaTheme="minorEastAsia" w:hAnsiTheme="minorEastAsia" w:hint="eastAsia"/>
          <w:bCs/>
        </w:rPr>
        <w:t>项目总用地面积</w:t>
      </w:r>
      <w:r>
        <w:rPr>
          <w:rFonts w:asciiTheme="minorEastAsia" w:eastAsiaTheme="minorEastAsia" w:hAnsiTheme="minorEastAsia" w:hint="eastAsia"/>
          <w:lang w:val="zh-CN"/>
        </w:rPr>
        <w:t>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平方米</w:t>
      </w:r>
      <w:r>
        <w:rPr>
          <w:rFonts w:hint="eastAsia"/>
          <w:lang w:val="zh-CN"/>
        </w:rPr>
        <w:t>）</w:t>
      </w:r>
    </w:p>
    <w:p w:rsidR="00A341C1" w:rsidRDefault="00A341C1" w:rsidP="00A341C1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asciiTheme="minorEastAsia" w:eastAsiaTheme="minorEastAsia" w:hAnsiTheme="minorEastAsia" w:hint="eastAsia"/>
          <w:lang w:val="zh-CN"/>
        </w:rPr>
        <w:t>地下建筑面积：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平方米</w:t>
      </w:r>
      <w:r>
        <w:rPr>
          <w:rFonts w:hint="eastAsia"/>
          <w:lang w:val="zh-CN"/>
        </w:rPr>
        <w:t>）</w:t>
      </w:r>
    </w:p>
    <w:p w:rsidR="00A341C1" w:rsidRDefault="00A341C1" w:rsidP="00A341C1">
      <w:pPr>
        <w:tabs>
          <w:tab w:val="left" w:pos="2702"/>
        </w:tabs>
        <w:spacing w:line="288" w:lineRule="auto"/>
        <w:rPr>
          <w:rFonts w:asciiTheme="minorEastAsia" w:eastAsiaTheme="minorEastAsia" w:hAnsiTheme="minorEastAsia"/>
          <w:lang w:val="zh-CN"/>
        </w:rPr>
      </w:pPr>
      <w:r>
        <w:rPr>
          <w:rFonts w:asciiTheme="minorEastAsia" w:eastAsiaTheme="minorEastAsia" w:hAnsiTheme="minorEastAsia" w:cs="宋体" w:hint="eastAsia"/>
          <w:bCs/>
        </w:rPr>
        <w:t>地下建筑面积与总用地面积之比为</w:t>
      </w:r>
      <w:r>
        <w:rPr>
          <w:rFonts w:asciiTheme="minorEastAsia" w:eastAsiaTheme="minorEastAsia" w:hAnsiTheme="minorEastAsia" w:hint="eastAsia"/>
          <w:lang w:val="zh-CN"/>
        </w:rPr>
        <w:t>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</w:t>
      </w:r>
    </w:p>
    <w:p w:rsidR="00A341C1" w:rsidRDefault="00A341C1" w:rsidP="00A341C1">
      <w:pPr>
        <w:tabs>
          <w:tab w:val="left" w:pos="2702"/>
        </w:tabs>
        <w:spacing w:line="288" w:lineRule="auto"/>
        <w:rPr>
          <w:rFonts w:asciiTheme="minorEastAsia" w:eastAsiaTheme="minorEastAsia" w:hAnsiTheme="minorEastAsia"/>
          <w:lang w:val="zh-CN"/>
        </w:rPr>
      </w:pPr>
      <w:r>
        <w:rPr>
          <w:rFonts w:asciiTheme="minorEastAsia" w:eastAsiaTheme="minorEastAsia" w:hAnsiTheme="minorEastAsia" w:cs="宋体" w:hint="eastAsia"/>
          <w:bCs/>
        </w:rPr>
        <w:lastRenderedPageBreak/>
        <w:t>地下一层建筑面积：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平方米</w:t>
      </w:r>
      <w:r>
        <w:rPr>
          <w:rFonts w:hint="eastAsia"/>
          <w:lang w:val="zh-CN"/>
        </w:rPr>
        <w:t>）</w:t>
      </w:r>
      <w:r>
        <w:rPr>
          <w:rFonts w:asciiTheme="minorEastAsia" w:eastAsiaTheme="minorEastAsia" w:hAnsiTheme="minorEastAsia" w:hint="eastAsia"/>
          <w:lang w:val="zh-CN"/>
        </w:rPr>
        <w:t xml:space="preserve"> </w:t>
      </w:r>
    </w:p>
    <w:p w:rsidR="00A341C1" w:rsidRDefault="00A341C1" w:rsidP="00A341C1">
      <w:pPr>
        <w:tabs>
          <w:tab w:val="left" w:pos="2702"/>
        </w:tabs>
        <w:spacing w:line="288" w:lineRule="auto"/>
        <w:rPr>
          <w:rFonts w:asciiTheme="minorEastAsia" w:eastAsiaTheme="minorEastAsia" w:hAnsiTheme="minorEastAsia"/>
          <w:lang w:val="zh-CN"/>
        </w:rPr>
      </w:pPr>
      <w:r>
        <w:rPr>
          <w:rFonts w:asciiTheme="minorEastAsia" w:eastAsiaTheme="minorEastAsia" w:hAnsiTheme="minorEastAsia" w:cs="宋体" w:hint="eastAsia"/>
          <w:bCs/>
        </w:rPr>
        <w:t>地下一层建筑面积</w:t>
      </w:r>
      <w:r>
        <w:rPr>
          <w:rFonts w:asciiTheme="minorEastAsia" w:eastAsiaTheme="minorEastAsia" w:hAnsiTheme="minorEastAsia" w:hint="eastAsia"/>
          <w:lang w:val="zh-CN"/>
        </w:rPr>
        <w:t>与总用地面积的比率：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</w:t>
      </w:r>
      <w:r w:rsidRPr="008C6C56">
        <w:rPr>
          <w:rFonts w:eastAsiaTheme="minorEastAsia"/>
          <w:lang w:val="zh-CN"/>
        </w:rPr>
        <w:t>（</w:t>
      </w:r>
      <w:r w:rsidRPr="008C6C56">
        <w:rPr>
          <w:rFonts w:eastAsiaTheme="minorEastAsia"/>
          <w:lang w:val="zh-CN"/>
        </w:rPr>
        <w:t>%</w:t>
      </w:r>
      <w:r w:rsidRPr="008C6C56">
        <w:rPr>
          <w:lang w:val="zh-CN"/>
        </w:rPr>
        <w:t>）</w:t>
      </w:r>
      <w:r>
        <w:rPr>
          <w:rFonts w:asciiTheme="minorEastAsia" w:eastAsiaTheme="minorEastAsia" w:hAnsiTheme="minorEastAsia" w:hint="eastAsia"/>
          <w:vertAlign w:val="superscript"/>
          <w:lang w:val="zh-CN"/>
        </w:rPr>
        <w:t xml:space="preserve">  </w:t>
      </w:r>
    </w:p>
    <w:p w:rsidR="00A341C1" w:rsidRDefault="00A341C1" w:rsidP="00A341C1">
      <w:pPr>
        <w:tabs>
          <w:tab w:val="left" w:pos="2702"/>
        </w:tabs>
        <w:spacing w:line="288" w:lineRule="auto"/>
        <w:rPr>
          <w:rFonts w:asciiTheme="minorEastAsia" w:eastAsiaTheme="minorEastAsia" w:hAnsiTheme="minorEastAsia"/>
          <w:u w:val="single"/>
          <w:lang w:val="zh-CN"/>
        </w:rPr>
      </w:pPr>
      <w:r>
        <w:rPr>
          <w:rFonts w:asciiTheme="minorEastAsia" w:eastAsiaTheme="minorEastAsia" w:hAnsiTheme="minorEastAsia" w:hint="eastAsia"/>
          <w:lang w:val="zh-CN"/>
        </w:rPr>
        <w:t>地下空间主要功能为：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    </w:t>
      </w:r>
    </w:p>
    <w:p w:rsidR="00A341C1" w:rsidRDefault="00A341C1" w:rsidP="00A341C1">
      <w:pPr>
        <w:pStyle w:val="a6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简要对该建筑的场地区位、地质条件、地下空间功能分区以及地下空间开发利用的合理性等进行阐述。（</w:t>
      </w:r>
      <w:r>
        <w:rPr>
          <w:sz w:val="21"/>
          <w:szCs w:val="21"/>
        </w:rPr>
        <w:t>200</w:t>
      </w:r>
      <w:r>
        <w:rPr>
          <w:rFonts w:hint="eastAsia"/>
          <w:sz w:val="21"/>
          <w:szCs w:val="21"/>
        </w:rPr>
        <w:t>字以内）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0"/>
      </w:tblGrid>
      <w:tr w:rsidR="00A341C1" w:rsidTr="001B1638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C1" w:rsidRDefault="00A341C1" w:rsidP="001B1638">
            <w:pPr>
              <w:pStyle w:val="Default"/>
              <w:spacing w:line="288" w:lineRule="auto"/>
              <w:ind w:firstLineChars="200" w:firstLine="42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A341C1" w:rsidRDefault="00A341C1" w:rsidP="00A341C1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 xml:space="preserve">4)  </w:t>
      </w:r>
      <w:r>
        <w:rPr>
          <w:rFonts w:hint="eastAsia"/>
          <w:b/>
          <w:lang w:val="zh-CN"/>
        </w:rPr>
        <w:t>证明材料</w:t>
      </w:r>
    </w:p>
    <w:p w:rsidR="00A341C1" w:rsidRDefault="00A341C1" w:rsidP="00A341C1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提交材料及要求：</w:t>
      </w:r>
    </w:p>
    <w:p w:rsidR="00A341C1" w:rsidRDefault="00A341C1" w:rsidP="00A341C1">
      <w:pPr>
        <w:pStyle w:val="a5"/>
        <w:numPr>
          <w:ilvl w:val="0"/>
          <w:numId w:val="1"/>
        </w:numPr>
        <w:spacing w:line="288" w:lineRule="auto"/>
        <w:ind w:hangingChars="200"/>
      </w:pPr>
      <w:r>
        <w:rPr>
          <w:rFonts w:hint="eastAsia"/>
        </w:rPr>
        <w:t>总平面图：应</w:t>
      </w:r>
      <w:r>
        <w:rPr>
          <w:rFonts w:hint="eastAsia"/>
          <w:szCs w:val="21"/>
        </w:rPr>
        <w:t>包括总用地面积、总建筑面积、地上建筑面积、地下建筑面积、建筑占地面积等技术经济指标；</w:t>
      </w:r>
    </w:p>
    <w:p w:rsidR="00A341C1" w:rsidRDefault="00A341C1" w:rsidP="00A341C1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地下空间建筑平面图：应体现地下空间功能分区及面积；</w:t>
      </w:r>
    </w:p>
    <w:p w:rsidR="00A341C1" w:rsidRDefault="00A341C1" w:rsidP="00A341C1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地下空间不参评情况说明书：应论述项目不适宜开发地下空间的缘由，如场地区位和地质条件、建筑结构类型、建筑功能或性质确实不适宜开发地下空间等。（仅本条不参评项目提供）。</w:t>
      </w:r>
    </w:p>
    <w:p w:rsidR="00A341C1" w:rsidRDefault="00A341C1" w:rsidP="00A341C1">
      <w:pPr>
        <w:spacing w:line="288" w:lineRule="auto"/>
      </w:pPr>
    </w:p>
    <w:p w:rsidR="00A341C1" w:rsidRPr="00572CE6" w:rsidRDefault="00A341C1" w:rsidP="00A341C1">
      <w:pPr>
        <w:spacing w:line="288" w:lineRule="auto"/>
        <w:rPr>
          <w:b/>
        </w:rPr>
      </w:pPr>
      <w:r w:rsidRPr="00572CE6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A341C1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C1" w:rsidRDefault="00A341C1" w:rsidP="001B1638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</w:p>
        </w:tc>
      </w:tr>
    </w:tbl>
    <w:p w:rsidR="00A341C1" w:rsidRDefault="00A341C1" w:rsidP="00A341C1"/>
    <w:p w:rsidR="00A341C1" w:rsidRDefault="00A341C1" w:rsidP="00A341C1"/>
    <w:p w:rsidR="00A341C1" w:rsidRDefault="00A341C1" w:rsidP="00A341C1">
      <w:pPr>
        <w:widowControl/>
        <w:spacing w:line="360" w:lineRule="auto"/>
        <w:jc w:val="left"/>
        <w:rPr>
          <w:rFonts w:eastAsia="黑体"/>
          <w:b/>
          <w:bCs/>
          <w:sz w:val="28"/>
          <w:szCs w:val="28"/>
        </w:rPr>
        <w:sectPr w:rsidR="00A341C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E32230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230" w:rsidRDefault="00E32230" w:rsidP="00A341C1">
      <w:r>
        <w:separator/>
      </w:r>
    </w:p>
  </w:endnote>
  <w:endnote w:type="continuationSeparator" w:id="0">
    <w:p w:rsidR="00E32230" w:rsidRDefault="00E32230" w:rsidP="00A3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230" w:rsidRDefault="00E32230" w:rsidP="00A341C1">
      <w:r>
        <w:separator/>
      </w:r>
    </w:p>
  </w:footnote>
  <w:footnote w:type="continuationSeparator" w:id="0">
    <w:p w:rsidR="00E32230" w:rsidRDefault="00E32230" w:rsidP="00A3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40C8B"/>
    <w:multiLevelType w:val="hybridMultilevel"/>
    <w:tmpl w:val="E6BA2C9E"/>
    <w:lvl w:ilvl="0" w:tplc="405429BC">
      <w:start w:val="1"/>
      <w:numFmt w:val="decimal"/>
      <w:lvlText w:val="%1、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64"/>
    <w:rsid w:val="0036396F"/>
    <w:rsid w:val="00740364"/>
    <w:rsid w:val="00A341C1"/>
    <w:rsid w:val="00E32230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DCF431-5972-4198-AD38-9947EC27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C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A341C1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1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1C1"/>
    <w:rPr>
      <w:sz w:val="18"/>
      <w:szCs w:val="18"/>
    </w:rPr>
  </w:style>
  <w:style w:type="character" w:customStyle="1" w:styleId="4Char">
    <w:name w:val="标题 4 Char"/>
    <w:basedOn w:val="a0"/>
    <w:link w:val="4"/>
    <w:rsid w:val="00A341C1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A341C1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A341C1"/>
    <w:pPr>
      <w:spacing w:line="300" w:lineRule="auto"/>
      <w:outlineLvl w:val="2"/>
    </w:pPr>
    <w:rPr>
      <w:sz w:val="24"/>
      <w:szCs w:val="24"/>
    </w:rPr>
  </w:style>
  <w:style w:type="paragraph" w:customStyle="1" w:styleId="Default">
    <w:name w:val="Default"/>
    <w:rsid w:val="00A341C1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7">
    <w:name w:val="Table Grid"/>
    <w:basedOn w:val="a1"/>
    <w:rsid w:val="00A341C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2017-11-13T06:35:00Z</dcterms:created>
  <dcterms:modified xsi:type="dcterms:W3CDTF">2017-11-13T06:35:00Z</dcterms:modified>
</cp:coreProperties>
</file>