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86" w:rsidRPr="006D3B4D" w:rsidRDefault="00D85686" w:rsidP="00D85686">
      <w:pPr>
        <w:pStyle w:val="4"/>
        <w:rPr>
          <w:rFonts w:hint="eastAsia"/>
        </w:rPr>
      </w:pPr>
      <w:r w:rsidRPr="006D3B4D">
        <w:rPr>
          <w:rFonts w:hint="eastAsia"/>
        </w:rPr>
        <w:t>5.2.</w:t>
      </w:r>
      <w:r>
        <w:rPr>
          <w:rFonts w:hint="eastAsia"/>
        </w:rPr>
        <w:t>6</w:t>
      </w:r>
      <w:r w:rsidRPr="006D3B4D">
        <w:rPr>
          <w:rFonts w:hint="eastAsia"/>
        </w:rPr>
        <w:t xml:space="preserve"> </w:t>
      </w:r>
      <w:r w:rsidRPr="006D3B4D">
        <w:rPr>
          <w:rFonts w:hint="eastAsia"/>
        </w:rPr>
        <w:t>采取措施降低过渡季节供暖、通风与空调系统能耗。</w:t>
      </w:r>
    </w:p>
    <w:p w:rsidR="00D85686" w:rsidRPr="00DA4560" w:rsidRDefault="00D85686" w:rsidP="00D8568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D85686" w:rsidRDefault="00D85686" w:rsidP="00D85686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D85686" w:rsidRDefault="00D85686" w:rsidP="00D85686">
      <w:pPr>
        <w:spacing w:line="288" w:lineRule="auto"/>
        <w:rPr>
          <w:rFonts w:cs="宋体"/>
          <w:lang w:val="zh-CN"/>
        </w:rPr>
      </w:pPr>
      <w:r>
        <w:rPr>
          <w:rFonts w:hint="eastAsia"/>
        </w:rPr>
        <w:t>不参评条件：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不设暖通空调系统</w:t>
      </w:r>
    </w:p>
    <w:p w:rsidR="00D85686" w:rsidRPr="006F6CE5" w:rsidRDefault="00D85686" w:rsidP="00D8568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）得分自评</w:t>
      </w:r>
    </w:p>
    <w:tbl>
      <w:tblPr>
        <w:tblStyle w:val="a7"/>
        <w:tblW w:w="8363" w:type="dxa"/>
        <w:jc w:val="center"/>
        <w:tblLook w:val="04A0" w:firstRow="1" w:lastRow="0" w:firstColumn="1" w:lastColumn="0" w:noHBand="0" w:noVBand="1"/>
      </w:tblPr>
      <w:tblGrid>
        <w:gridCol w:w="1434"/>
        <w:gridCol w:w="3413"/>
        <w:gridCol w:w="1758"/>
        <w:gridCol w:w="1758"/>
      </w:tblGrid>
      <w:tr w:rsidR="00D85686" w:rsidRPr="007C3AE5" w:rsidTr="001B1638">
        <w:trPr>
          <w:trHeight w:val="340"/>
          <w:jc w:val="center"/>
        </w:trPr>
        <w:tc>
          <w:tcPr>
            <w:tcW w:w="1434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413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758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758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D85686" w:rsidRPr="007C3AE5" w:rsidTr="001B1638">
        <w:trPr>
          <w:trHeight w:val="340"/>
          <w:jc w:val="center"/>
        </w:trPr>
        <w:tc>
          <w:tcPr>
            <w:tcW w:w="1434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13" w:type="dxa"/>
            <w:vAlign w:val="center"/>
          </w:tcPr>
          <w:p w:rsidR="00D85686" w:rsidRDefault="00D8568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采取措施降低过渡季节供暖、通风与空调系统能耗</w:t>
            </w:r>
          </w:p>
          <w:p w:rsidR="00D85686" w:rsidRDefault="00D8568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</w:t>
            </w:r>
          </w:p>
          <w:p w:rsidR="00D85686" w:rsidRPr="007C3AE5" w:rsidRDefault="00D8568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采用分体空调，可随时开窗通风</w:t>
            </w:r>
          </w:p>
        </w:tc>
        <w:tc>
          <w:tcPr>
            <w:tcW w:w="1758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758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D85686" w:rsidRPr="007C3AE5" w:rsidTr="001B1638">
        <w:trPr>
          <w:trHeight w:val="340"/>
          <w:jc w:val="center"/>
        </w:trPr>
        <w:tc>
          <w:tcPr>
            <w:tcW w:w="4847" w:type="dxa"/>
            <w:gridSpan w:val="2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758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758" w:type="dxa"/>
            <w:vAlign w:val="center"/>
          </w:tcPr>
          <w:p w:rsidR="00D85686" w:rsidRPr="007C3AE5" w:rsidRDefault="00D8568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D85686" w:rsidRPr="006F6CE5" w:rsidRDefault="00D85686" w:rsidP="00D8568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D85686" w:rsidRDefault="00D85686" w:rsidP="00D8568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采取措施降低过渡季节供暖、通风与空调系统能</w:t>
      </w:r>
      <w:r w:rsidRPr="00247C83">
        <w:rPr>
          <w:rFonts w:ascii="宋体" w:hAnsi="宋体" w:cs="宋体" w:hint="eastAsia"/>
          <w:sz w:val="21"/>
          <w:szCs w:val="21"/>
        </w:rPr>
        <w:t>耗：</w:t>
      </w:r>
      <w:r w:rsidRPr="00247C83">
        <w:rPr>
          <w:rFonts w:ascii="宋体" w:hAnsi="宋体" w:cs="宋体"/>
          <w:sz w:val="21"/>
          <w:szCs w:val="21"/>
        </w:rPr>
        <w:t>□是</w:t>
      </w:r>
      <w:r w:rsidRPr="00247C83">
        <w:rPr>
          <w:rFonts w:ascii="宋体" w:hAnsi="宋体" w:cs="宋体" w:hint="eastAsia"/>
          <w:sz w:val="21"/>
          <w:szCs w:val="21"/>
        </w:rPr>
        <w:t>、</w:t>
      </w:r>
      <w:r w:rsidRPr="00247C83">
        <w:rPr>
          <w:rFonts w:ascii="宋体" w:hAnsi="宋体" w:cs="宋体"/>
          <w:sz w:val="21"/>
          <w:szCs w:val="21"/>
        </w:rPr>
        <w:t>□否</w:t>
      </w:r>
    </w:p>
    <w:p w:rsidR="00D85686" w:rsidRDefault="00D85686" w:rsidP="00D8568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D85686" w:rsidRPr="0004127E" w:rsidRDefault="00D85686" w:rsidP="00D85686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如“是”，简要阐述</w:t>
      </w:r>
      <w:r w:rsidRPr="00477A97">
        <w:rPr>
          <w:rFonts w:cs="宋体" w:hint="eastAsia"/>
          <w:sz w:val="21"/>
          <w:szCs w:val="21"/>
        </w:rPr>
        <w:t>降低过渡季节供暖、通风与空调系统能耗</w:t>
      </w:r>
      <w:r>
        <w:rPr>
          <w:rFonts w:cs="宋体" w:hint="eastAsia"/>
          <w:sz w:val="21"/>
          <w:szCs w:val="21"/>
        </w:rPr>
        <w:t>的具体措施</w:t>
      </w:r>
      <w:r w:rsidRPr="0004127E">
        <w:rPr>
          <w:rFonts w:cs="宋体"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 w:rsidRPr="0004127E">
        <w:rPr>
          <w:sz w:val="21"/>
          <w:szCs w:val="21"/>
        </w:rPr>
        <w:t>00</w:t>
      </w:r>
      <w:r w:rsidRPr="0004127E">
        <w:rPr>
          <w:rFonts w:cs="宋体" w:hint="eastAsia"/>
          <w:sz w:val="21"/>
          <w:szCs w:val="21"/>
        </w:rPr>
        <w:t>字以内）。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D85686" w:rsidRPr="0004127E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86" w:rsidRPr="00B57022" w:rsidRDefault="00D85686" w:rsidP="001B1638">
            <w:pPr>
              <w:pStyle w:val="a6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D85686" w:rsidRPr="006F6CE5" w:rsidRDefault="00D85686" w:rsidP="00D8568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4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D85686" w:rsidRPr="0009264F" w:rsidRDefault="00D85686" w:rsidP="00D85686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提交资料及要求</w:t>
      </w:r>
      <w:r w:rsidRPr="0009264F">
        <w:rPr>
          <w:rFonts w:hint="eastAsia"/>
          <w:sz w:val="21"/>
          <w:szCs w:val="21"/>
        </w:rPr>
        <w:t>：</w:t>
      </w:r>
    </w:p>
    <w:p w:rsidR="00D85686" w:rsidRDefault="00D85686" w:rsidP="00D8568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04127E">
        <w:rPr>
          <w:rFonts w:cs="宋体" w:hint="eastAsia"/>
          <w:sz w:val="21"/>
          <w:szCs w:val="21"/>
        </w:rPr>
        <w:t>暖通设计说明</w:t>
      </w:r>
      <w:r>
        <w:rPr>
          <w:rFonts w:hint="eastAsia"/>
          <w:sz w:val="21"/>
          <w:szCs w:val="21"/>
        </w:rPr>
        <w:t>：应包含降低过渡季能耗采取</w:t>
      </w:r>
      <w:r w:rsidRPr="00477A97">
        <w:rPr>
          <w:rFonts w:hint="eastAsia"/>
          <w:sz w:val="21"/>
          <w:szCs w:val="21"/>
        </w:rPr>
        <w:t>具体措施</w:t>
      </w:r>
      <w:r>
        <w:rPr>
          <w:rFonts w:hint="eastAsia"/>
          <w:sz w:val="21"/>
          <w:szCs w:val="21"/>
        </w:rPr>
        <w:t>的详细说明；</w:t>
      </w:r>
    </w:p>
    <w:p w:rsidR="00D85686" w:rsidRPr="0009264F" w:rsidRDefault="00D85686" w:rsidP="00D8568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477A97">
        <w:rPr>
          <w:rFonts w:hint="eastAsia"/>
          <w:sz w:val="21"/>
          <w:szCs w:val="21"/>
        </w:rPr>
        <w:t>暖通专业施工图纸</w:t>
      </w:r>
      <w:r>
        <w:rPr>
          <w:rFonts w:hint="eastAsia"/>
          <w:sz w:val="21"/>
          <w:szCs w:val="21"/>
        </w:rPr>
        <w:t>：应包括平面图、系统图，并与设计说明采取措施相吻合。</w:t>
      </w:r>
    </w:p>
    <w:p w:rsidR="00D85686" w:rsidRDefault="00D85686" w:rsidP="00D85686">
      <w:pPr>
        <w:tabs>
          <w:tab w:val="num" w:pos="0"/>
        </w:tabs>
        <w:spacing w:line="288" w:lineRule="auto"/>
        <w:rPr>
          <w:b/>
        </w:rPr>
      </w:pPr>
    </w:p>
    <w:p w:rsidR="00D85686" w:rsidRPr="007C3AE5" w:rsidRDefault="00D85686" w:rsidP="00D85686">
      <w:pPr>
        <w:tabs>
          <w:tab w:val="num" w:pos="0"/>
        </w:tabs>
        <w:spacing w:line="288" w:lineRule="auto"/>
        <w:rPr>
          <w:b/>
          <w:sz w:val="24"/>
        </w:rPr>
      </w:pPr>
      <w:r w:rsidRPr="007C3AE5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D85686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D85686" w:rsidRPr="002D7505" w:rsidRDefault="00D85686" w:rsidP="001B1638">
            <w:pPr>
              <w:spacing w:line="288" w:lineRule="auto"/>
            </w:pPr>
          </w:p>
        </w:tc>
      </w:tr>
    </w:tbl>
    <w:p w:rsidR="00D85686" w:rsidRDefault="00D85686" w:rsidP="00D85686">
      <w:pPr>
        <w:spacing w:line="288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F4B4A" w:rsidRDefault="00C64289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89" w:rsidRDefault="00C64289" w:rsidP="00D85686">
      <w:r>
        <w:separator/>
      </w:r>
    </w:p>
  </w:endnote>
  <w:endnote w:type="continuationSeparator" w:id="0">
    <w:p w:rsidR="00C64289" w:rsidRDefault="00C64289" w:rsidP="00D8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89" w:rsidRDefault="00C64289" w:rsidP="00D85686">
      <w:r>
        <w:separator/>
      </w:r>
    </w:p>
  </w:footnote>
  <w:footnote w:type="continuationSeparator" w:id="0">
    <w:p w:rsidR="00C64289" w:rsidRDefault="00C64289" w:rsidP="00D8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916D7"/>
    <w:multiLevelType w:val="hybridMultilevel"/>
    <w:tmpl w:val="E7868B82"/>
    <w:lvl w:ilvl="0" w:tplc="437E8A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6C"/>
    <w:rsid w:val="0036396F"/>
    <w:rsid w:val="003D146C"/>
    <w:rsid w:val="00C64289"/>
    <w:rsid w:val="00D85686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7BB03-2DE2-4FE2-BFDC-1280288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6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D8568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686"/>
    <w:rPr>
      <w:sz w:val="18"/>
      <w:szCs w:val="18"/>
    </w:rPr>
  </w:style>
  <w:style w:type="character" w:customStyle="1" w:styleId="4Char">
    <w:name w:val="标题 4 Char"/>
    <w:basedOn w:val="a0"/>
    <w:link w:val="4"/>
    <w:rsid w:val="00D85686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D85686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D85686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D856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2017-11-13T07:19:00Z</dcterms:created>
  <dcterms:modified xsi:type="dcterms:W3CDTF">2017-11-13T07:19:00Z</dcterms:modified>
</cp:coreProperties>
</file>