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F0C" w:rsidRPr="00D4021E" w:rsidRDefault="00665F0C" w:rsidP="00665F0C">
      <w:pPr>
        <w:pStyle w:val="4"/>
        <w:rPr>
          <w:rFonts w:hint="eastAsia"/>
        </w:rPr>
      </w:pPr>
      <w:r w:rsidRPr="00E550B6">
        <w:rPr>
          <w:rFonts w:hint="eastAsia"/>
        </w:rPr>
        <w:t>7</w:t>
      </w:r>
      <w:r w:rsidRPr="00E550B6">
        <w:t>.</w:t>
      </w:r>
      <w:r w:rsidRPr="00E550B6">
        <w:rPr>
          <w:rFonts w:hint="eastAsia"/>
        </w:rPr>
        <w:t>1</w:t>
      </w:r>
      <w:r w:rsidRPr="00E550B6">
        <w:t>.2</w:t>
      </w:r>
      <w:r w:rsidRPr="00DA6EA1">
        <w:rPr>
          <w:rFonts w:hint="eastAsia"/>
        </w:rPr>
        <w:t>混凝土结构中，梁、柱及剪力墙边缘构件的纵向受力普通钢筋应采用不低于</w:t>
      </w:r>
      <w:r w:rsidRPr="00DA6EA1">
        <w:rPr>
          <w:rFonts w:hint="eastAsia"/>
        </w:rPr>
        <w:t>400MPa</w:t>
      </w:r>
      <w:r w:rsidRPr="00DA6EA1">
        <w:rPr>
          <w:rFonts w:hint="eastAsia"/>
        </w:rPr>
        <w:t>级的热轧带肋钢筋</w:t>
      </w:r>
      <w:r w:rsidRPr="00E550B6">
        <w:rPr>
          <w:rFonts w:hint="eastAsia"/>
        </w:rPr>
        <w:t>。</w:t>
      </w:r>
    </w:p>
    <w:p w:rsidR="00665F0C" w:rsidRDefault="00665F0C" w:rsidP="00665F0C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）参评情况</w:t>
      </w:r>
    </w:p>
    <w:p w:rsidR="00665F0C" w:rsidRPr="00E75B5D" w:rsidRDefault="00665F0C" w:rsidP="00665F0C">
      <w:pPr>
        <w:spacing w:line="288" w:lineRule="auto"/>
        <w:rPr>
          <w:b/>
          <w:bCs/>
          <w:lang w:val="zh-CN"/>
        </w:rPr>
      </w:pPr>
      <w:r w:rsidRPr="00E75B5D">
        <w:rPr>
          <w:rFonts w:ascii="宋体" w:hAnsi="宋体"/>
          <w:b/>
          <w:bCs/>
          <w:lang w:val="zh-CN"/>
        </w:rPr>
        <w:t>□</w:t>
      </w:r>
      <w:r w:rsidRPr="00E75B5D">
        <w:rPr>
          <w:rFonts w:hint="eastAsia"/>
          <w:lang w:val="zh-CN"/>
        </w:rPr>
        <w:t>参评；</w:t>
      </w:r>
      <w:r w:rsidRPr="00E75B5D">
        <w:rPr>
          <w:rFonts w:hint="eastAsia"/>
          <w:b/>
          <w:lang w:val="zh-CN"/>
        </w:rPr>
        <w:t>□</w:t>
      </w:r>
      <w:r w:rsidRPr="00E75B5D">
        <w:rPr>
          <w:rFonts w:hint="eastAsia"/>
          <w:lang w:val="zh-CN"/>
        </w:rPr>
        <w:t>不参评</w:t>
      </w:r>
    </w:p>
    <w:p w:rsidR="00665F0C" w:rsidRPr="00E2156D" w:rsidRDefault="00665F0C" w:rsidP="00665F0C">
      <w:pPr>
        <w:spacing w:line="288" w:lineRule="auto"/>
      </w:pPr>
      <w:r>
        <w:rPr>
          <w:rFonts w:hint="eastAsia"/>
        </w:rPr>
        <w:t>不参评</w:t>
      </w:r>
      <w:r w:rsidRPr="00E2156D">
        <w:rPr>
          <w:rFonts w:hint="eastAsia"/>
        </w:rPr>
        <w:t>结构类型：</w:t>
      </w:r>
      <w:r w:rsidRPr="00E2156D">
        <w:rPr>
          <w:rFonts w:ascii="宋体" w:hAnsi="宋体"/>
          <w:bCs/>
          <w:lang w:val="zh-CN"/>
        </w:rPr>
        <w:t>□</w:t>
      </w:r>
      <w:r w:rsidRPr="00E2156D">
        <w:rPr>
          <w:rFonts w:hint="eastAsia"/>
          <w:lang w:val="zh-CN"/>
        </w:rPr>
        <w:t>钢结构、</w:t>
      </w:r>
      <w:r w:rsidRPr="00E2156D">
        <w:rPr>
          <w:rFonts w:ascii="宋体" w:hAnsi="宋体"/>
          <w:bCs/>
          <w:lang w:val="zh-CN"/>
        </w:rPr>
        <w:t>□</w:t>
      </w:r>
      <w:r w:rsidRPr="00E2156D">
        <w:rPr>
          <w:rFonts w:hint="eastAsia"/>
          <w:lang w:val="zh-CN"/>
        </w:rPr>
        <w:t>木结构、</w:t>
      </w:r>
      <w:r w:rsidRPr="00E2156D">
        <w:rPr>
          <w:rFonts w:ascii="宋体" w:hAnsi="宋体"/>
          <w:bCs/>
          <w:lang w:val="zh-CN"/>
        </w:rPr>
        <w:t>□</w:t>
      </w:r>
      <w:r w:rsidRPr="00E2156D">
        <w:rPr>
          <w:rFonts w:hint="eastAsia"/>
          <w:lang w:val="zh-CN"/>
        </w:rPr>
        <w:t>砌体结构</w:t>
      </w:r>
    </w:p>
    <w:p w:rsidR="00665F0C" w:rsidRPr="00DA4560" w:rsidRDefault="00665F0C" w:rsidP="00665F0C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达标自评</w:t>
      </w:r>
    </w:p>
    <w:p w:rsidR="00665F0C" w:rsidRPr="00E75B5D" w:rsidRDefault="00665F0C" w:rsidP="00665F0C">
      <w:pPr>
        <w:spacing w:line="288" w:lineRule="auto"/>
        <w:rPr>
          <w:b/>
          <w:bCs/>
          <w:lang w:val="zh-CN"/>
        </w:rPr>
      </w:pPr>
      <w:r w:rsidRPr="00E75B5D">
        <w:rPr>
          <w:rFonts w:hint="eastAsia"/>
          <w:b/>
          <w:lang w:val="zh-CN"/>
        </w:rPr>
        <w:t>□</w:t>
      </w:r>
      <w:r w:rsidRPr="00E75B5D">
        <w:rPr>
          <w:rFonts w:hint="eastAsia"/>
          <w:lang w:val="zh-CN"/>
        </w:rPr>
        <w:t>达标；</w:t>
      </w:r>
      <w:r w:rsidRPr="00E75B5D">
        <w:rPr>
          <w:rFonts w:hint="eastAsia"/>
          <w:b/>
          <w:lang w:val="zh-CN"/>
        </w:rPr>
        <w:t>□</w:t>
      </w:r>
      <w:r w:rsidRPr="00E75B5D">
        <w:rPr>
          <w:rFonts w:hint="eastAsia"/>
          <w:lang w:val="zh-CN"/>
        </w:rPr>
        <w:t>不达标</w:t>
      </w:r>
    </w:p>
    <w:p w:rsidR="00665F0C" w:rsidRPr="00DA4560" w:rsidRDefault="00665F0C" w:rsidP="00665F0C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评价要点</w:t>
      </w:r>
    </w:p>
    <w:p w:rsidR="00665F0C" w:rsidRDefault="00665F0C" w:rsidP="00665F0C">
      <w:pPr>
        <w:spacing w:line="288" w:lineRule="auto"/>
        <w:rPr>
          <w:lang w:val="zh-CN"/>
        </w:rPr>
      </w:pPr>
      <w:r>
        <w:rPr>
          <w:rFonts w:cs="宋体" w:hint="eastAsia"/>
        </w:rPr>
        <w:t>混凝土梁纵向受力普通钢筋全部采用</w:t>
      </w:r>
      <w:r>
        <w:rPr>
          <w:rFonts w:hint="eastAsia"/>
        </w:rPr>
        <w:t>不低于</w:t>
      </w:r>
      <w:r>
        <w:rPr>
          <w:rFonts w:hint="eastAsia"/>
        </w:rPr>
        <w:t>400MPa</w:t>
      </w:r>
      <w:r>
        <w:rPr>
          <w:rFonts w:hint="eastAsia"/>
        </w:rPr>
        <w:t>级的热轧带肋钢筋</w:t>
      </w:r>
      <w:r>
        <w:rPr>
          <w:rFonts w:cs="宋体" w:hint="eastAsia"/>
        </w:rPr>
        <w:t>：</w:t>
      </w:r>
      <w:r w:rsidRPr="0014526B">
        <w:rPr>
          <w:rFonts w:ascii="宋体" w:hAnsi="宋体"/>
          <w:bCs/>
          <w:lang w:val="zh-CN"/>
        </w:rPr>
        <w:t>□</w:t>
      </w:r>
      <w:r>
        <w:rPr>
          <w:rFonts w:hint="eastAsia"/>
          <w:lang w:val="zh-CN"/>
        </w:rPr>
        <w:t>是、</w:t>
      </w:r>
      <w:r w:rsidRPr="0014526B">
        <w:rPr>
          <w:rFonts w:ascii="宋体" w:hAnsi="宋体"/>
          <w:bCs/>
          <w:lang w:val="zh-CN"/>
        </w:rPr>
        <w:t>□</w:t>
      </w:r>
      <w:r>
        <w:rPr>
          <w:rFonts w:hint="eastAsia"/>
          <w:lang w:val="zh-CN"/>
        </w:rPr>
        <w:t>否</w:t>
      </w:r>
    </w:p>
    <w:p w:rsidR="00665F0C" w:rsidRDefault="00665F0C" w:rsidP="00665F0C">
      <w:pPr>
        <w:spacing w:line="288" w:lineRule="auto"/>
        <w:rPr>
          <w:lang w:val="zh-CN"/>
        </w:rPr>
      </w:pPr>
      <w:r>
        <w:rPr>
          <w:rFonts w:cs="宋体" w:hint="eastAsia"/>
        </w:rPr>
        <w:t>混凝土柱纵向受力普通钢筋全部采用</w:t>
      </w:r>
      <w:r>
        <w:rPr>
          <w:rFonts w:hint="eastAsia"/>
        </w:rPr>
        <w:t>不低于</w:t>
      </w:r>
      <w:r>
        <w:rPr>
          <w:rFonts w:hint="eastAsia"/>
        </w:rPr>
        <w:t>400MPa</w:t>
      </w:r>
      <w:r>
        <w:rPr>
          <w:rFonts w:hint="eastAsia"/>
        </w:rPr>
        <w:t>级的热轧带肋钢筋：</w:t>
      </w:r>
      <w:r w:rsidRPr="0014526B">
        <w:rPr>
          <w:rFonts w:ascii="宋体" w:hAnsi="宋体"/>
          <w:bCs/>
          <w:lang w:val="zh-CN"/>
        </w:rPr>
        <w:t>□</w:t>
      </w:r>
      <w:r>
        <w:rPr>
          <w:rFonts w:hint="eastAsia"/>
          <w:lang w:val="zh-CN"/>
        </w:rPr>
        <w:t>是、</w:t>
      </w:r>
      <w:r w:rsidRPr="0014526B">
        <w:rPr>
          <w:rFonts w:ascii="宋体" w:hAnsi="宋体"/>
          <w:bCs/>
          <w:lang w:val="zh-CN"/>
        </w:rPr>
        <w:t>□</w:t>
      </w:r>
      <w:r>
        <w:rPr>
          <w:rFonts w:hint="eastAsia"/>
          <w:lang w:val="zh-CN"/>
        </w:rPr>
        <w:t>否</w:t>
      </w:r>
    </w:p>
    <w:p w:rsidR="00665F0C" w:rsidRPr="00DA4560" w:rsidRDefault="00665F0C" w:rsidP="00665F0C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4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证明材料</w:t>
      </w:r>
    </w:p>
    <w:p w:rsidR="00665F0C" w:rsidRPr="00250CED" w:rsidRDefault="00665F0C" w:rsidP="00665F0C">
      <w:pPr>
        <w:spacing w:line="288" w:lineRule="auto"/>
        <w:rPr>
          <w:rFonts w:cs="宋体"/>
          <w:b/>
          <w:bCs/>
          <w:lang w:val="zh-CN"/>
        </w:rPr>
      </w:pPr>
      <w:r w:rsidRPr="00250CED">
        <w:rPr>
          <w:rFonts w:cs="宋体" w:hint="eastAsia"/>
          <w:b/>
          <w:bCs/>
          <w:lang w:val="zh-CN"/>
        </w:rPr>
        <w:t>提交材料及要求：</w:t>
      </w:r>
    </w:p>
    <w:p w:rsidR="00665F0C" w:rsidRPr="00E2156D" w:rsidRDefault="00665F0C" w:rsidP="00665F0C">
      <w:pPr>
        <w:pStyle w:val="a5"/>
        <w:numPr>
          <w:ilvl w:val="0"/>
          <w:numId w:val="1"/>
        </w:numPr>
        <w:spacing w:line="288" w:lineRule="auto"/>
        <w:ind w:firstLineChars="0"/>
      </w:pPr>
      <w:r w:rsidRPr="004E576E">
        <w:rPr>
          <w:rFonts w:cs="宋体" w:hint="eastAsia"/>
        </w:rPr>
        <w:t>结构设计说明：应注明混凝土梁、柱纵向受力普通钢筋的材料强度等级；</w:t>
      </w:r>
    </w:p>
    <w:p w:rsidR="00665F0C" w:rsidRPr="004E576E" w:rsidRDefault="00665F0C" w:rsidP="00665F0C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cs="宋体" w:hint="eastAsia"/>
        </w:rPr>
        <w:t>混凝土梁、柱配筋图：应体现钢筋的材料选用；</w:t>
      </w:r>
    </w:p>
    <w:p w:rsidR="00665F0C" w:rsidRPr="0004127E" w:rsidRDefault="00665F0C" w:rsidP="00665F0C">
      <w:pPr>
        <w:pStyle w:val="a5"/>
        <w:numPr>
          <w:ilvl w:val="0"/>
          <w:numId w:val="1"/>
        </w:numPr>
        <w:spacing w:line="288" w:lineRule="auto"/>
        <w:ind w:firstLineChars="0"/>
      </w:pPr>
      <w:r w:rsidRPr="004E576E">
        <w:rPr>
          <w:rFonts w:cs="宋体" w:hint="eastAsia"/>
        </w:rPr>
        <w:t>建筑工程造价预算表：需明确所选用钢筋的型号规格</w:t>
      </w:r>
      <w:r w:rsidRPr="00FF4ED3">
        <w:rPr>
          <w:rFonts w:cs="宋体" w:hint="eastAsia"/>
        </w:rPr>
        <w:t>。</w:t>
      </w:r>
    </w:p>
    <w:p w:rsidR="00665F0C" w:rsidRDefault="00665F0C" w:rsidP="00665F0C">
      <w:pPr>
        <w:spacing w:line="288" w:lineRule="auto"/>
        <w:rPr>
          <w:rFonts w:cs="宋体"/>
        </w:rPr>
      </w:pPr>
    </w:p>
    <w:p w:rsidR="00665F0C" w:rsidRPr="00E2156D" w:rsidRDefault="00665F0C" w:rsidP="00665F0C">
      <w:pPr>
        <w:spacing w:line="288" w:lineRule="auto"/>
        <w:rPr>
          <w:b/>
        </w:rPr>
      </w:pPr>
      <w:r w:rsidRPr="00E2156D">
        <w:rPr>
          <w:rFonts w:cs="宋体"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665F0C" w:rsidRPr="0004127E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C" w:rsidRPr="0004127E" w:rsidRDefault="00665F0C" w:rsidP="001B1638">
            <w:pPr>
              <w:spacing w:line="288" w:lineRule="auto"/>
            </w:pPr>
            <w:r w:rsidRPr="0004127E">
              <w:t xml:space="preserve"> </w:t>
            </w:r>
          </w:p>
        </w:tc>
      </w:tr>
    </w:tbl>
    <w:p w:rsidR="00665F0C" w:rsidRDefault="00665F0C" w:rsidP="00665F0C">
      <w:pPr>
        <w:spacing w:line="288" w:lineRule="auto"/>
        <w:rPr>
          <w:b/>
          <w:bCs/>
          <w:sz w:val="24"/>
          <w:szCs w:val="24"/>
        </w:rPr>
      </w:pPr>
    </w:p>
    <w:p w:rsidR="00665F0C" w:rsidRDefault="00665F0C" w:rsidP="00665F0C">
      <w:pPr>
        <w:spacing w:line="288" w:lineRule="auto"/>
        <w:rPr>
          <w:b/>
          <w:bCs/>
          <w:sz w:val="24"/>
          <w:szCs w:val="24"/>
        </w:rPr>
        <w:sectPr w:rsidR="00665F0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4B4A" w:rsidRDefault="00BE77F4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7F4" w:rsidRDefault="00BE77F4" w:rsidP="00665F0C">
      <w:r>
        <w:separator/>
      </w:r>
    </w:p>
  </w:endnote>
  <w:endnote w:type="continuationSeparator" w:id="0">
    <w:p w:rsidR="00BE77F4" w:rsidRDefault="00BE77F4" w:rsidP="0066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7F4" w:rsidRDefault="00BE77F4" w:rsidP="00665F0C">
      <w:r>
        <w:separator/>
      </w:r>
    </w:p>
  </w:footnote>
  <w:footnote w:type="continuationSeparator" w:id="0">
    <w:p w:rsidR="00BE77F4" w:rsidRDefault="00BE77F4" w:rsidP="00665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D53D7"/>
    <w:multiLevelType w:val="hybridMultilevel"/>
    <w:tmpl w:val="EFEA7984"/>
    <w:lvl w:ilvl="0" w:tplc="AA64381C">
      <w:start w:val="1"/>
      <w:numFmt w:val="decimal"/>
      <w:lvlText w:val="%1、"/>
      <w:lvlJc w:val="left"/>
      <w:pPr>
        <w:ind w:left="360" w:hanging="360"/>
      </w:pPr>
      <w:rPr>
        <w:rFonts w:cs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40"/>
    <w:rsid w:val="0036396F"/>
    <w:rsid w:val="00665F0C"/>
    <w:rsid w:val="00834940"/>
    <w:rsid w:val="00BE77F4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7D51EC-7E08-4D8B-952E-D5BBA52A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F0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665F0C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F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F0C"/>
    <w:rPr>
      <w:sz w:val="18"/>
      <w:szCs w:val="18"/>
    </w:rPr>
  </w:style>
  <w:style w:type="character" w:customStyle="1" w:styleId="4Char">
    <w:name w:val="标题 4 Char"/>
    <w:basedOn w:val="a0"/>
    <w:link w:val="4"/>
    <w:rsid w:val="00665F0C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665F0C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2017-11-13T07:37:00Z</dcterms:created>
  <dcterms:modified xsi:type="dcterms:W3CDTF">2017-11-13T07:37:00Z</dcterms:modified>
</cp:coreProperties>
</file>