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4C" w:rsidRDefault="002E1D4C" w:rsidP="002E1D4C">
      <w:pPr>
        <w:pStyle w:val="4"/>
        <w:rPr>
          <w:rFonts w:hint="eastAsia"/>
        </w:rPr>
      </w:pPr>
      <w:r w:rsidRPr="00504FC0">
        <w:rPr>
          <w:rFonts w:hint="eastAsia"/>
        </w:rPr>
        <w:t xml:space="preserve">7.2.12 </w:t>
      </w:r>
      <w:r w:rsidRPr="00504FC0">
        <w:rPr>
          <w:rFonts w:hint="eastAsia"/>
        </w:rPr>
        <w:t>采用</w:t>
      </w:r>
      <w:r w:rsidRPr="00504FC0">
        <w:t>可</w:t>
      </w:r>
      <w:r w:rsidRPr="00504FC0">
        <w:rPr>
          <w:rFonts w:hint="eastAsia"/>
        </w:rPr>
        <w:t>再</w:t>
      </w:r>
      <w:r w:rsidRPr="00504FC0">
        <w:t>利用材料和</w:t>
      </w:r>
      <w:r w:rsidRPr="00504FC0">
        <w:rPr>
          <w:rFonts w:hint="eastAsia"/>
        </w:rPr>
        <w:t>可再循环</w:t>
      </w:r>
      <w:r w:rsidRPr="00504FC0">
        <w:t>材料。</w:t>
      </w:r>
    </w:p>
    <w:p w:rsidR="002E1D4C" w:rsidRPr="00504FC0" w:rsidRDefault="002E1D4C" w:rsidP="002E1D4C">
      <w:pPr>
        <w:spacing w:beforeLines="100" w:before="312" w:afterLines="25" w:after="78" w:line="288" w:lineRule="auto"/>
        <w:rPr>
          <w:b/>
        </w:rPr>
      </w:pPr>
      <w:r w:rsidRPr="00504FC0">
        <w:rPr>
          <w:b/>
        </w:rPr>
        <w:t>1</w:t>
      </w:r>
      <w:r w:rsidRPr="00504FC0">
        <w:rPr>
          <w:rFonts w:hint="eastAsia"/>
          <w:b/>
        </w:rPr>
        <w:t>）</w:t>
      </w:r>
      <w:r w:rsidRPr="00504FC0">
        <w:rPr>
          <w:b/>
        </w:rPr>
        <w:t>得分自评</w:t>
      </w:r>
    </w:p>
    <w:p w:rsidR="002E1D4C" w:rsidRDefault="002E1D4C" w:rsidP="002E1D4C">
      <w:pPr>
        <w:spacing w:line="288" w:lineRule="auto"/>
        <w:rPr>
          <w:b/>
        </w:rPr>
      </w:pPr>
      <w:r w:rsidRPr="00504FC0">
        <w:rPr>
          <w:rFonts w:eastAsia="仿宋_GB2312" w:cs="仿宋_GB2312" w:hint="eastAsia"/>
          <w:b/>
        </w:rPr>
        <w:t>□</w:t>
      </w:r>
      <w:r>
        <w:rPr>
          <w:rFonts w:eastAsia="仿宋_GB2312" w:cs="仿宋_GB2312" w:hint="eastAsia"/>
          <w:b/>
        </w:rPr>
        <w:t xml:space="preserve"> </w:t>
      </w:r>
      <w:r w:rsidRPr="00504FC0">
        <w:rPr>
          <w:rFonts w:hint="eastAsia"/>
          <w:b/>
        </w:rPr>
        <w:t>住宅建筑</w:t>
      </w:r>
    </w:p>
    <w:tbl>
      <w:tblPr>
        <w:tblStyle w:val="a5"/>
        <w:tblW w:w="8251" w:type="dxa"/>
        <w:jc w:val="center"/>
        <w:tblLook w:val="04A0" w:firstRow="1" w:lastRow="0" w:firstColumn="1" w:lastColumn="0" w:noHBand="0" w:noVBand="1"/>
      </w:tblPr>
      <w:tblGrid>
        <w:gridCol w:w="818"/>
        <w:gridCol w:w="2677"/>
        <w:gridCol w:w="1325"/>
        <w:gridCol w:w="1730"/>
        <w:gridCol w:w="1701"/>
      </w:tblGrid>
      <w:tr w:rsidR="002E1D4C" w:rsidRPr="00743AC1" w:rsidTr="001B1638">
        <w:trPr>
          <w:trHeight w:val="340"/>
          <w:jc w:val="center"/>
        </w:trPr>
        <w:tc>
          <w:tcPr>
            <w:tcW w:w="818" w:type="dxa"/>
            <w:vAlign w:val="center"/>
          </w:tcPr>
          <w:p w:rsidR="002E1D4C" w:rsidRPr="00743AC1" w:rsidRDefault="002E1D4C" w:rsidP="001B1638">
            <w:pPr>
              <w:jc w:val="center"/>
              <w:rPr>
                <w:bCs/>
                <w:sz w:val="18"/>
                <w:szCs w:val="18"/>
                <w:lang w:val="zh-CN"/>
              </w:rPr>
            </w:pPr>
            <w:r w:rsidRPr="00743AC1">
              <w:rPr>
                <w:rFonts w:hint="eastAsia"/>
                <w:bCs/>
                <w:sz w:val="18"/>
                <w:szCs w:val="18"/>
                <w:lang w:val="zh-CN"/>
              </w:rPr>
              <w:t>序号</w:t>
            </w:r>
          </w:p>
        </w:tc>
        <w:tc>
          <w:tcPr>
            <w:tcW w:w="4002" w:type="dxa"/>
            <w:gridSpan w:val="2"/>
            <w:vAlign w:val="center"/>
          </w:tcPr>
          <w:p w:rsidR="002E1D4C" w:rsidRPr="00743AC1" w:rsidRDefault="002E1D4C" w:rsidP="001B1638">
            <w:pPr>
              <w:jc w:val="center"/>
              <w:rPr>
                <w:bCs/>
                <w:sz w:val="18"/>
                <w:szCs w:val="18"/>
                <w:lang w:val="zh-CN"/>
              </w:rPr>
            </w:pPr>
            <w:r w:rsidRPr="00743AC1">
              <w:rPr>
                <w:rFonts w:hint="eastAsia"/>
                <w:bCs/>
                <w:sz w:val="18"/>
                <w:szCs w:val="18"/>
                <w:lang w:val="zh-CN"/>
              </w:rPr>
              <w:t>评价</w:t>
            </w:r>
            <w:r w:rsidRPr="00743AC1">
              <w:rPr>
                <w:bCs/>
                <w:sz w:val="18"/>
                <w:szCs w:val="18"/>
                <w:lang w:val="zh-CN"/>
              </w:rPr>
              <w:t>内容</w:t>
            </w:r>
          </w:p>
        </w:tc>
        <w:tc>
          <w:tcPr>
            <w:tcW w:w="1730" w:type="dxa"/>
            <w:vAlign w:val="center"/>
          </w:tcPr>
          <w:p w:rsidR="002E1D4C" w:rsidRPr="00743AC1" w:rsidRDefault="002E1D4C" w:rsidP="001B1638">
            <w:pPr>
              <w:jc w:val="center"/>
              <w:rPr>
                <w:bCs/>
                <w:sz w:val="18"/>
                <w:szCs w:val="18"/>
                <w:lang w:val="zh-CN"/>
              </w:rPr>
            </w:pPr>
            <w:r w:rsidRPr="00743AC1">
              <w:rPr>
                <w:rFonts w:hint="eastAsia"/>
                <w:bCs/>
                <w:sz w:val="18"/>
                <w:szCs w:val="18"/>
                <w:lang w:val="zh-CN"/>
              </w:rPr>
              <w:t>评价</w:t>
            </w:r>
            <w:r w:rsidRPr="00743AC1">
              <w:rPr>
                <w:bCs/>
                <w:sz w:val="18"/>
                <w:szCs w:val="18"/>
                <w:lang w:val="zh-CN"/>
              </w:rPr>
              <w:t>分值</w:t>
            </w:r>
            <w:r w:rsidRPr="00743AC1">
              <w:rPr>
                <w:rFonts w:hint="eastAsia"/>
                <w:bCs/>
                <w:sz w:val="18"/>
                <w:szCs w:val="18"/>
                <w:lang w:val="zh-CN"/>
              </w:rPr>
              <w:t>（分</w:t>
            </w:r>
            <w:r w:rsidRPr="00743AC1">
              <w:rPr>
                <w:bCs/>
                <w:sz w:val="18"/>
                <w:szCs w:val="18"/>
                <w:lang w:val="zh-CN"/>
              </w:rPr>
              <w:t>）</w:t>
            </w:r>
          </w:p>
        </w:tc>
        <w:tc>
          <w:tcPr>
            <w:tcW w:w="1701" w:type="dxa"/>
            <w:vAlign w:val="center"/>
          </w:tcPr>
          <w:p w:rsidR="002E1D4C" w:rsidRPr="00743AC1" w:rsidRDefault="002E1D4C" w:rsidP="001B1638">
            <w:pPr>
              <w:jc w:val="center"/>
              <w:rPr>
                <w:bCs/>
                <w:sz w:val="18"/>
                <w:szCs w:val="18"/>
                <w:lang w:val="zh-CN"/>
              </w:rPr>
            </w:pPr>
            <w:r w:rsidRPr="00743AC1">
              <w:rPr>
                <w:rFonts w:hint="eastAsia"/>
                <w:bCs/>
                <w:sz w:val="18"/>
                <w:szCs w:val="18"/>
                <w:lang w:val="zh-CN"/>
              </w:rPr>
              <w:t>自评得分（分）</w:t>
            </w:r>
          </w:p>
        </w:tc>
      </w:tr>
      <w:tr w:rsidR="002E1D4C" w:rsidRPr="00743AC1" w:rsidTr="001B1638">
        <w:trPr>
          <w:trHeight w:val="340"/>
          <w:jc w:val="center"/>
        </w:trPr>
        <w:tc>
          <w:tcPr>
            <w:tcW w:w="818" w:type="dxa"/>
            <w:vMerge w:val="restart"/>
            <w:vAlign w:val="center"/>
          </w:tcPr>
          <w:p w:rsidR="002E1D4C" w:rsidRPr="00743AC1" w:rsidRDefault="002E1D4C" w:rsidP="001B1638">
            <w:pPr>
              <w:jc w:val="center"/>
              <w:rPr>
                <w:bCs/>
                <w:sz w:val="18"/>
                <w:szCs w:val="18"/>
                <w:lang w:val="zh-CN"/>
              </w:rPr>
            </w:pPr>
            <w:r w:rsidRPr="00743AC1">
              <w:rPr>
                <w:rFonts w:hint="eastAsia"/>
                <w:bCs/>
                <w:sz w:val="18"/>
                <w:szCs w:val="18"/>
                <w:lang w:val="zh-CN"/>
              </w:rPr>
              <w:t>1</w:t>
            </w:r>
          </w:p>
        </w:tc>
        <w:tc>
          <w:tcPr>
            <w:tcW w:w="2677" w:type="dxa"/>
            <w:vMerge w:val="restart"/>
            <w:vAlign w:val="center"/>
          </w:tcPr>
          <w:p w:rsidR="002E1D4C" w:rsidRPr="00743AC1" w:rsidRDefault="002E1D4C" w:rsidP="001B1638">
            <w:pPr>
              <w:jc w:val="center"/>
              <w:rPr>
                <w:bCs/>
                <w:sz w:val="18"/>
                <w:szCs w:val="18"/>
                <w:lang w:val="zh-CN"/>
              </w:rPr>
            </w:pPr>
            <w:r w:rsidRPr="00743AC1">
              <w:rPr>
                <w:rFonts w:hint="eastAsia"/>
                <w:sz w:val="18"/>
                <w:szCs w:val="18"/>
              </w:rPr>
              <w:t>可再利用</w:t>
            </w:r>
            <w:r w:rsidRPr="00743AC1">
              <w:rPr>
                <w:sz w:val="18"/>
                <w:szCs w:val="18"/>
              </w:rPr>
              <w:t>材料和可再循环材料用量比例</w:t>
            </w:r>
          </w:p>
        </w:tc>
        <w:tc>
          <w:tcPr>
            <w:tcW w:w="1325" w:type="dxa"/>
            <w:vAlign w:val="center"/>
          </w:tcPr>
          <w:p w:rsidR="002E1D4C" w:rsidRPr="00743AC1" w:rsidRDefault="002E1D4C" w:rsidP="001B1638">
            <w:pPr>
              <w:jc w:val="center"/>
              <w:rPr>
                <w:bCs/>
                <w:sz w:val="18"/>
                <w:szCs w:val="18"/>
                <w:lang w:val="zh-CN"/>
              </w:rPr>
            </w:pPr>
            <w:r w:rsidRPr="00743AC1">
              <w:rPr>
                <w:rFonts w:hint="eastAsia"/>
                <w:sz w:val="18"/>
                <w:szCs w:val="18"/>
              </w:rPr>
              <w:t>达到</w:t>
            </w:r>
            <w:r w:rsidRPr="00743AC1">
              <w:rPr>
                <w:rFonts w:hint="eastAsia"/>
                <w:bCs/>
                <w:sz w:val="18"/>
                <w:szCs w:val="18"/>
                <w:lang w:val="zh-CN"/>
              </w:rPr>
              <w:t>6</w:t>
            </w:r>
            <w:r w:rsidRPr="00743AC1">
              <w:rPr>
                <w:bCs/>
                <w:sz w:val="18"/>
                <w:szCs w:val="18"/>
                <w:lang w:val="zh-CN"/>
              </w:rPr>
              <w:t>%</w:t>
            </w:r>
          </w:p>
        </w:tc>
        <w:tc>
          <w:tcPr>
            <w:tcW w:w="1730" w:type="dxa"/>
          </w:tcPr>
          <w:p w:rsidR="002E1D4C" w:rsidRPr="00743AC1" w:rsidRDefault="002E1D4C" w:rsidP="001B1638">
            <w:pPr>
              <w:jc w:val="center"/>
              <w:rPr>
                <w:bCs/>
                <w:sz w:val="18"/>
                <w:szCs w:val="18"/>
                <w:lang w:val="zh-CN"/>
              </w:rPr>
            </w:pPr>
            <w:r w:rsidRPr="00743AC1">
              <w:rPr>
                <w:bCs/>
                <w:sz w:val="18"/>
                <w:szCs w:val="18"/>
                <w:lang w:val="zh-CN"/>
              </w:rPr>
              <w:t>8</w:t>
            </w:r>
          </w:p>
        </w:tc>
        <w:tc>
          <w:tcPr>
            <w:tcW w:w="1701" w:type="dxa"/>
            <w:vMerge w:val="restart"/>
            <w:vAlign w:val="center"/>
          </w:tcPr>
          <w:p w:rsidR="002E1D4C" w:rsidRPr="00743AC1" w:rsidRDefault="002E1D4C" w:rsidP="001B1638">
            <w:pPr>
              <w:jc w:val="center"/>
              <w:rPr>
                <w:bCs/>
                <w:sz w:val="18"/>
                <w:szCs w:val="18"/>
                <w:lang w:val="zh-CN"/>
              </w:rPr>
            </w:pPr>
          </w:p>
        </w:tc>
      </w:tr>
      <w:tr w:rsidR="002E1D4C" w:rsidRPr="00743AC1" w:rsidTr="001B1638">
        <w:trPr>
          <w:trHeight w:val="340"/>
          <w:jc w:val="center"/>
        </w:trPr>
        <w:tc>
          <w:tcPr>
            <w:tcW w:w="818" w:type="dxa"/>
            <w:vMerge/>
          </w:tcPr>
          <w:p w:rsidR="002E1D4C" w:rsidRPr="00743AC1" w:rsidRDefault="002E1D4C" w:rsidP="001B1638">
            <w:pPr>
              <w:jc w:val="center"/>
              <w:rPr>
                <w:bCs/>
                <w:sz w:val="18"/>
                <w:szCs w:val="18"/>
                <w:lang w:val="zh-CN"/>
              </w:rPr>
            </w:pPr>
          </w:p>
        </w:tc>
        <w:tc>
          <w:tcPr>
            <w:tcW w:w="2677" w:type="dxa"/>
            <w:vMerge/>
          </w:tcPr>
          <w:p w:rsidR="002E1D4C" w:rsidRPr="00743AC1" w:rsidRDefault="002E1D4C" w:rsidP="001B1638">
            <w:pPr>
              <w:jc w:val="center"/>
              <w:rPr>
                <w:bCs/>
                <w:sz w:val="18"/>
                <w:szCs w:val="18"/>
                <w:lang w:val="zh-CN"/>
              </w:rPr>
            </w:pPr>
          </w:p>
        </w:tc>
        <w:tc>
          <w:tcPr>
            <w:tcW w:w="1325" w:type="dxa"/>
          </w:tcPr>
          <w:p w:rsidR="002E1D4C" w:rsidRPr="00743AC1" w:rsidRDefault="002E1D4C" w:rsidP="001B1638">
            <w:pPr>
              <w:jc w:val="center"/>
              <w:rPr>
                <w:bCs/>
                <w:sz w:val="18"/>
                <w:szCs w:val="18"/>
                <w:lang w:val="zh-CN"/>
              </w:rPr>
            </w:pPr>
            <w:r w:rsidRPr="00743AC1">
              <w:rPr>
                <w:rFonts w:hint="eastAsia"/>
                <w:sz w:val="18"/>
                <w:szCs w:val="18"/>
              </w:rPr>
              <w:t>达到</w:t>
            </w:r>
            <w:r w:rsidRPr="00743AC1">
              <w:rPr>
                <w:bCs/>
                <w:sz w:val="18"/>
                <w:szCs w:val="18"/>
                <w:lang w:val="zh-CN"/>
              </w:rPr>
              <w:t>10%</w:t>
            </w:r>
          </w:p>
        </w:tc>
        <w:tc>
          <w:tcPr>
            <w:tcW w:w="1730" w:type="dxa"/>
          </w:tcPr>
          <w:p w:rsidR="002E1D4C" w:rsidRPr="00743AC1" w:rsidRDefault="002E1D4C" w:rsidP="001B1638">
            <w:pPr>
              <w:jc w:val="center"/>
              <w:rPr>
                <w:bCs/>
                <w:sz w:val="18"/>
                <w:szCs w:val="18"/>
                <w:lang w:val="zh-CN"/>
              </w:rPr>
            </w:pPr>
            <w:r w:rsidRPr="00743AC1">
              <w:rPr>
                <w:rFonts w:hint="eastAsia"/>
                <w:bCs/>
                <w:sz w:val="18"/>
                <w:szCs w:val="18"/>
                <w:lang w:val="zh-CN"/>
              </w:rPr>
              <w:t>10</w:t>
            </w:r>
          </w:p>
        </w:tc>
        <w:tc>
          <w:tcPr>
            <w:tcW w:w="1701" w:type="dxa"/>
            <w:vMerge/>
          </w:tcPr>
          <w:p w:rsidR="002E1D4C" w:rsidRPr="00743AC1" w:rsidRDefault="002E1D4C" w:rsidP="001B1638">
            <w:pPr>
              <w:jc w:val="center"/>
              <w:rPr>
                <w:bCs/>
                <w:sz w:val="18"/>
                <w:szCs w:val="18"/>
                <w:lang w:val="zh-CN"/>
              </w:rPr>
            </w:pPr>
          </w:p>
        </w:tc>
      </w:tr>
      <w:tr w:rsidR="002E1D4C" w:rsidRPr="00743AC1" w:rsidTr="001B1638">
        <w:trPr>
          <w:jc w:val="center"/>
        </w:trPr>
        <w:tc>
          <w:tcPr>
            <w:tcW w:w="4820" w:type="dxa"/>
            <w:gridSpan w:val="3"/>
          </w:tcPr>
          <w:p w:rsidR="002E1D4C" w:rsidRPr="00743AC1" w:rsidRDefault="002E1D4C" w:rsidP="001B1638">
            <w:pPr>
              <w:jc w:val="center"/>
              <w:rPr>
                <w:bCs/>
                <w:sz w:val="18"/>
                <w:szCs w:val="18"/>
                <w:lang w:val="zh-CN"/>
              </w:rPr>
            </w:pPr>
            <w:r>
              <w:rPr>
                <w:rFonts w:hint="eastAsia"/>
                <w:bCs/>
                <w:sz w:val="18"/>
                <w:szCs w:val="18"/>
                <w:lang w:val="zh-CN"/>
              </w:rPr>
              <w:t>总分</w:t>
            </w:r>
          </w:p>
        </w:tc>
        <w:tc>
          <w:tcPr>
            <w:tcW w:w="1730" w:type="dxa"/>
          </w:tcPr>
          <w:p w:rsidR="002E1D4C" w:rsidRPr="00743AC1" w:rsidRDefault="002E1D4C" w:rsidP="001B1638">
            <w:pPr>
              <w:jc w:val="center"/>
              <w:rPr>
                <w:bCs/>
                <w:sz w:val="18"/>
                <w:szCs w:val="18"/>
                <w:lang w:val="zh-CN"/>
              </w:rPr>
            </w:pPr>
            <w:r w:rsidRPr="00743AC1">
              <w:rPr>
                <w:bCs/>
                <w:sz w:val="18"/>
                <w:szCs w:val="18"/>
                <w:lang w:val="zh-CN"/>
              </w:rPr>
              <w:t>10</w:t>
            </w:r>
          </w:p>
        </w:tc>
        <w:tc>
          <w:tcPr>
            <w:tcW w:w="1701" w:type="dxa"/>
          </w:tcPr>
          <w:p w:rsidR="002E1D4C" w:rsidRPr="00743AC1" w:rsidRDefault="002E1D4C" w:rsidP="001B1638">
            <w:pPr>
              <w:jc w:val="center"/>
              <w:rPr>
                <w:bCs/>
                <w:sz w:val="18"/>
                <w:szCs w:val="18"/>
                <w:lang w:val="zh-CN"/>
              </w:rPr>
            </w:pPr>
          </w:p>
        </w:tc>
      </w:tr>
    </w:tbl>
    <w:p w:rsidR="002E1D4C" w:rsidRDefault="002E1D4C" w:rsidP="002E1D4C">
      <w:pPr>
        <w:spacing w:line="288" w:lineRule="auto"/>
        <w:rPr>
          <w:b/>
        </w:rPr>
      </w:pPr>
    </w:p>
    <w:p w:rsidR="002E1D4C" w:rsidRPr="00504FC0" w:rsidRDefault="002E1D4C" w:rsidP="002E1D4C">
      <w:pPr>
        <w:spacing w:line="288" w:lineRule="auto"/>
        <w:rPr>
          <w:b/>
        </w:rPr>
      </w:pPr>
      <w:r w:rsidRPr="00504FC0">
        <w:rPr>
          <w:rFonts w:eastAsia="仿宋_GB2312" w:cs="仿宋_GB2312" w:hint="eastAsia"/>
          <w:b/>
        </w:rPr>
        <w:t>□</w:t>
      </w:r>
      <w:r w:rsidRPr="00504FC0">
        <w:rPr>
          <w:rFonts w:eastAsia="仿宋_GB2312" w:cs="仿宋_GB2312" w:hint="eastAsia"/>
          <w:b/>
        </w:rPr>
        <w:t xml:space="preserve"> </w:t>
      </w:r>
      <w:r w:rsidRPr="00504FC0">
        <w:rPr>
          <w:rFonts w:hint="eastAsia"/>
          <w:b/>
        </w:rPr>
        <w:t>公共建筑</w:t>
      </w:r>
    </w:p>
    <w:tbl>
      <w:tblPr>
        <w:tblStyle w:val="a5"/>
        <w:tblW w:w="8207" w:type="dxa"/>
        <w:jc w:val="center"/>
        <w:tblLook w:val="04A0" w:firstRow="1" w:lastRow="0" w:firstColumn="1" w:lastColumn="0" w:noHBand="0" w:noVBand="1"/>
      </w:tblPr>
      <w:tblGrid>
        <w:gridCol w:w="774"/>
        <w:gridCol w:w="2746"/>
        <w:gridCol w:w="1256"/>
        <w:gridCol w:w="1730"/>
        <w:gridCol w:w="1701"/>
      </w:tblGrid>
      <w:tr w:rsidR="002E1D4C" w:rsidRPr="00743AC1" w:rsidTr="001B1638">
        <w:trPr>
          <w:trHeight w:val="340"/>
          <w:jc w:val="center"/>
        </w:trPr>
        <w:tc>
          <w:tcPr>
            <w:tcW w:w="774" w:type="dxa"/>
          </w:tcPr>
          <w:p w:rsidR="002E1D4C" w:rsidRPr="00743AC1" w:rsidRDefault="002E1D4C" w:rsidP="001B1638">
            <w:pPr>
              <w:jc w:val="center"/>
              <w:rPr>
                <w:bCs/>
                <w:sz w:val="18"/>
                <w:szCs w:val="18"/>
                <w:lang w:val="zh-CN"/>
              </w:rPr>
            </w:pPr>
            <w:r w:rsidRPr="00743AC1">
              <w:rPr>
                <w:rFonts w:hint="eastAsia"/>
                <w:bCs/>
                <w:sz w:val="18"/>
                <w:szCs w:val="18"/>
                <w:lang w:val="zh-CN"/>
              </w:rPr>
              <w:t>序号</w:t>
            </w:r>
          </w:p>
        </w:tc>
        <w:tc>
          <w:tcPr>
            <w:tcW w:w="4002" w:type="dxa"/>
            <w:gridSpan w:val="2"/>
          </w:tcPr>
          <w:p w:rsidR="002E1D4C" w:rsidRPr="00743AC1" w:rsidRDefault="002E1D4C" w:rsidP="001B1638">
            <w:pPr>
              <w:jc w:val="center"/>
              <w:rPr>
                <w:bCs/>
                <w:sz w:val="18"/>
                <w:szCs w:val="18"/>
                <w:lang w:val="zh-CN"/>
              </w:rPr>
            </w:pPr>
            <w:r w:rsidRPr="00743AC1">
              <w:rPr>
                <w:rFonts w:hint="eastAsia"/>
                <w:bCs/>
                <w:sz w:val="18"/>
                <w:szCs w:val="18"/>
                <w:lang w:val="zh-CN"/>
              </w:rPr>
              <w:t>评价</w:t>
            </w:r>
            <w:r w:rsidRPr="00743AC1">
              <w:rPr>
                <w:bCs/>
                <w:sz w:val="18"/>
                <w:szCs w:val="18"/>
                <w:lang w:val="zh-CN"/>
              </w:rPr>
              <w:t>内容</w:t>
            </w:r>
          </w:p>
        </w:tc>
        <w:tc>
          <w:tcPr>
            <w:tcW w:w="1730" w:type="dxa"/>
          </w:tcPr>
          <w:p w:rsidR="002E1D4C" w:rsidRPr="00743AC1" w:rsidRDefault="002E1D4C" w:rsidP="001B1638">
            <w:pPr>
              <w:jc w:val="center"/>
              <w:rPr>
                <w:bCs/>
                <w:sz w:val="18"/>
                <w:szCs w:val="18"/>
                <w:lang w:val="zh-CN"/>
              </w:rPr>
            </w:pPr>
            <w:r w:rsidRPr="00743AC1">
              <w:rPr>
                <w:rFonts w:hint="eastAsia"/>
                <w:bCs/>
                <w:sz w:val="18"/>
                <w:szCs w:val="18"/>
                <w:lang w:val="zh-CN"/>
              </w:rPr>
              <w:t>评价</w:t>
            </w:r>
            <w:r w:rsidRPr="00743AC1">
              <w:rPr>
                <w:bCs/>
                <w:sz w:val="18"/>
                <w:szCs w:val="18"/>
                <w:lang w:val="zh-CN"/>
              </w:rPr>
              <w:t>分值</w:t>
            </w:r>
            <w:r w:rsidRPr="00743AC1">
              <w:rPr>
                <w:rFonts w:hint="eastAsia"/>
                <w:bCs/>
                <w:sz w:val="18"/>
                <w:szCs w:val="18"/>
                <w:lang w:val="zh-CN"/>
              </w:rPr>
              <w:t>（分</w:t>
            </w:r>
            <w:r w:rsidRPr="00743AC1">
              <w:rPr>
                <w:bCs/>
                <w:sz w:val="18"/>
                <w:szCs w:val="18"/>
                <w:lang w:val="zh-CN"/>
              </w:rPr>
              <w:t>）</w:t>
            </w:r>
          </w:p>
        </w:tc>
        <w:tc>
          <w:tcPr>
            <w:tcW w:w="1701" w:type="dxa"/>
          </w:tcPr>
          <w:p w:rsidR="002E1D4C" w:rsidRPr="00743AC1" w:rsidRDefault="002E1D4C" w:rsidP="001B1638">
            <w:pPr>
              <w:jc w:val="center"/>
              <w:rPr>
                <w:bCs/>
                <w:sz w:val="18"/>
                <w:szCs w:val="18"/>
                <w:lang w:val="zh-CN"/>
              </w:rPr>
            </w:pPr>
            <w:r w:rsidRPr="00743AC1">
              <w:rPr>
                <w:rFonts w:hint="eastAsia"/>
                <w:bCs/>
                <w:sz w:val="18"/>
                <w:szCs w:val="18"/>
                <w:lang w:val="zh-CN"/>
              </w:rPr>
              <w:t>自评得分（分）</w:t>
            </w:r>
          </w:p>
        </w:tc>
      </w:tr>
      <w:tr w:rsidR="002E1D4C" w:rsidRPr="00743AC1" w:rsidTr="001B1638">
        <w:trPr>
          <w:trHeight w:val="340"/>
          <w:jc w:val="center"/>
        </w:trPr>
        <w:tc>
          <w:tcPr>
            <w:tcW w:w="774" w:type="dxa"/>
            <w:vMerge w:val="restart"/>
            <w:vAlign w:val="center"/>
          </w:tcPr>
          <w:p w:rsidR="002E1D4C" w:rsidRPr="00743AC1" w:rsidRDefault="002E1D4C" w:rsidP="001B1638">
            <w:pPr>
              <w:jc w:val="center"/>
              <w:rPr>
                <w:bCs/>
                <w:sz w:val="18"/>
                <w:szCs w:val="18"/>
                <w:lang w:val="zh-CN"/>
              </w:rPr>
            </w:pPr>
            <w:r w:rsidRPr="00743AC1">
              <w:rPr>
                <w:rFonts w:hint="eastAsia"/>
                <w:bCs/>
                <w:sz w:val="18"/>
                <w:szCs w:val="18"/>
                <w:lang w:val="zh-CN"/>
              </w:rPr>
              <w:t>1</w:t>
            </w:r>
          </w:p>
        </w:tc>
        <w:tc>
          <w:tcPr>
            <w:tcW w:w="2746" w:type="dxa"/>
            <w:vMerge w:val="restart"/>
            <w:vAlign w:val="center"/>
          </w:tcPr>
          <w:p w:rsidR="002E1D4C" w:rsidRPr="00743AC1" w:rsidRDefault="002E1D4C" w:rsidP="001B1638">
            <w:pPr>
              <w:jc w:val="center"/>
              <w:rPr>
                <w:bCs/>
                <w:sz w:val="18"/>
                <w:szCs w:val="18"/>
                <w:lang w:val="zh-CN"/>
              </w:rPr>
            </w:pPr>
            <w:r w:rsidRPr="00743AC1">
              <w:rPr>
                <w:rFonts w:hint="eastAsia"/>
                <w:sz w:val="18"/>
                <w:szCs w:val="18"/>
              </w:rPr>
              <w:t>可再利用</w:t>
            </w:r>
            <w:r w:rsidRPr="00743AC1">
              <w:rPr>
                <w:sz w:val="18"/>
                <w:szCs w:val="18"/>
              </w:rPr>
              <w:t>材料和可再循环材料用量比例</w:t>
            </w:r>
          </w:p>
        </w:tc>
        <w:tc>
          <w:tcPr>
            <w:tcW w:w="1256" w:type="dxa"/>
            <w:vAlign w:val="center"/>
          </w:tcPr>
          <w:p w:rsidR="002E1D4C" w:rsidRPr="00743AC1" w:rsidRDefault="002E1D4C" w:rsidP="001B1638">
            <w:pPr>
              <w:jc w:val="center"/>
              <w:rPr>
                <w:bCs/>
                <w:sz w:val="18"/>
                <w:szCs w:val="18"/>
                <w:lang w:val="zh-CN"/>
              </w:rPr>
            </w:pPr>
            <w:r w:rsidRPr="00743AC1">
              <w:rPr>
                <w:rFonts w:hint="eastAsia"/>
                <w:sz w:val="18"/>
                <w:szCs w:val="18"/>
              </w:rPr>
              <w:t>达到</w:t>
            </w:r>
            <w:r w:rsidRPr="00743AC1">
              <w:rPr>
                <w:bCs/>
                <w:sz w:val="18"/>
                <w:szCs w:val="18"/>
                <w:lang w:val="zh-CN"/>
              </w:rPr>
              <w:t>10%</w:t>
            </w:r>
          </w:p>
        </w:tc>
        <w:tc>
          <w:tcPr>
            <w:tcW w:w="1730" w:type="dxa"/>
          </w:tcPr>
          <w:p w:rsidR="002E1D4C" w:rsidRPr="00743AC1" w:rsidRDefault="002E1D4C" w:rsidP="001B1638">
            <w:pPr>
              <w:jc w:val="center"/>
              <w:rPr>
                <w:bCs/>
                <w:sz w:val="18"/>
                <w:szCs w:val="18"/>
                <w:lang w:val="zh-CN"/>
              </w:rPr>
            </w:pPr>
            <w:r w:rsidRPr="00743AC1">
              <w:rPr>
                <w:bCs/>
                <w:sz w:val="18"/>
                <w:szCs w:val="18"/>
                <w:lang w:val="zh-CN"/>
              </w:rPr>
              <w:t>8</w:t>
            </w:r>
          </w:p>
        </w:tc>
        <w:tc>
          <w:tcPr>
            <w:tcW w:w="1701" w:type="dxa"/>
            <w:vMerge w:val="restart"/>
            <w:vAlign w:val="center"/>
          </w:tcPr>
          <w:p w:rsidR="002E1D4C" w:rsidRPr="00743AC1" w:rsidRDefault="002E1D4C" w:rsidP="001B1638">
            <w:pPr>
              <w:jc w:val="center"/>
              <w:rPr>
                <w:bCs/>
                <w:sz w:val="18"/>
                <w:szCs w:val="18"/>
                <w:lang w:val="zh-CN"/>
              </w:rPr>
            </w:pPr>
          </w:p>
        </w:tc>
      </w:tr>
      <w:tr w:rsidR="002E1D4C" w:rsidRPr="00743AC1" w:rsidTr="001B1638">
        <w:trPr>
          <w:trHeight w:val="340"/>
          <w:jc w:val="center"/>
        </w:trPr>
        <w:tc>
          <w:tcPr>
            <w:tcW w:w="774" w:type="dxa"/>
            <w:vMerge/>
          </w:tcPr>
          <w:p w:rsidR="002E1D4C" w:rsidRPr="00743AC1" w:rsidRDefault="002E1D4C" w:rsidP="001B1638">
            <w:pPr>
              <w:jc w:val="center"/>
              <w:rPr>
                <w:bCs/>
                <w:sz w:val="18"/>
                <w:szCs w:val="18"/>
                <w:lang w:val="zh-CN"/>
              </w:rPr>
            </w:pPr>
          </w:p>
        </w:tc>
        <w:tc>
          <w:tcPr>
            <w:tcW w:w="2746" w:type="dxa"/>
            <w:vMerge/>
          </w:tcPr>
          <w:p w:rsidR="002E1D4C" w:rsidRPr="00743AC1" w:rsidRDefault="002E1D4C" w:rsidP="001B1638">
            <w:pPr>
              <w:jc w:val="center"/>
              <w:rPr>
                <w:bCs/>
                <w:sz w:val="18"/>
                <w:szCs w:val="18"/>
                <w:lang w:val="zh-CN"/>
              </w:rPr>
            </w:pPr>
          </w:p>
        </w:tc>
        <w:tc>
          <w:tcPr>
            <w:tcW w:w="1256" w:type="dxa"/>
          </w:tcPr>
          <w:p w:rsidR="002E1D4C" w:rsidRPr="00743AC1" w:rsidRDefault="002E1D4C" w:rsidP="001B1638">
            <w:pPr>
              <w:jc w:val="center"/>
              <w:rPr>
                <w:bCs/>
                <w:sz w:val="18"/>
                <w:szCs w:val="18"/>
                <w:lang w:val="zh-CN"/>
              </w:rPr>
            </w:pPr>
            <w:r w:rsidRPr="00743AC1">
              <w:rPr>
                <w:rFonts w:hint="eastAsia"/>
                <w:sz w:val="18"/>
                <w:szCs w:val="18"/>
              </w:rPr>
              <w:t>达到</w:t>
            </w:r>
            <w:r w:rsidRPr="00743AC1">
              <w:rPr>
                <w:bCs/>
                <w:sz w:val="18"/>
                <w:szCs w:val="18"/>
                <w:lang w:val="zh-CN"/>
              </w:rPr>
              <w:t>15%</w:t>
            </w:r>
          </w:p>
        </w:tc>
        <w:tc>
          <w:tcPr>
            <w:tcW w:w="1730" w:type="dxa"/>
          </w:tcPr>
          <w:p w:rsidR="002E1D4C" w:rsidRPr="00743AC1" w:rsidRDefault="002E1D4C" w:rsidP="001B1638">
            <w:pPr>
              <w:jc w:val="center"/>
              <w:rPr>
                <w:bCs/>
                <w:sz w:val="18"/>
                <w:szCs w:val="18"/>
                <w:lang w:val="zh-CN"/>
              </w:rPr>
            </w:pPr>
            <w:r w:rsidRPr="00743AC1">
              <w:rPr>
                <w:rFonts w:hint="eastAsia"/>
                <w:bCs/>
                <w:sz w:val="18"/>
                <w:szCs w:val="18"/>
                <w:lang w:val="zh-CN"/>
              </w:rPr>
              <w:t>10</w:t>
            </w:r>
          </w:p>
        </w:tc>
        <w:tc>
          <w:tcPr>
            <w:tcW w:w="1701" w:type="dxa"/>
            <w:vMerge/>
          </w:tcPr>
          <w:p w:rsidR="002E1D4C" w:rsidRPr="00743AC1" w:rsidRDefault="002E1D4C" w:rsidP="001B1638">
            <w:pPr>
              <w:jc w:val="center"/>
              <w:rPr>
                <w:bCs/>
                <w:sz w:val="18"/>
                <w:szCs w:val="18"/>
                <w:lang w:val="zh-CN"/>
              </w:rPr>
            </w:pPr>
          </w:p>
        </w:tc>
      </w:tr>
      <w:tr w:rsidR="002E1D4C" w:rsidRPr="00743AC1" w:rsidTr="001B1638">
        <w:trPr>
          <w:trHeight w:val="340"/>
          <w:jc w:val="center"/>
        </w:trPr>
        <w:tc>
          <w:tcPr>
            <w:tcW w:w="4776" w:type="dxa"/>
            <w:gridSpan w:val="3"/>
          </w:tcPr>
          <w:p w:rsidR="002E1D4C" w:rsidRPr="00743AC1" w:rsidRDefault="002E1D4C" w:rsidP="001B1638">
            <w:pPr>
              <w:jc w:val="center"/>
              <w:rPr>
                <w:bCs/>
                <w:sz w:val="18"/>
                <w:szCs w:val="18"/>
                <w:lang w:val="zh-CN"/>
              </w:rPr>
            </w:pPr>
            <w:r>
              <w:rPr>
                <w:rFonts w:hint="eastAsia"/>
                <w:bCs/>
                <w:sz w:val="18"/>
                <w:szCs w:val="18"/>
                <w:lang w:val="zh-CN"/>
              </w:rPr>
              <w:t>总分</w:t>
            </w:r>
          </w:p>
        </w:tc>
        <w:tc>
          <w:tcPr>
            <w:tcW w:w="1730" w:type="dxa"/>
          </w:tcPr>
          <w:p w:rsidR="002E1D4C" w:rsidRPr="00743AC1" w:rsidRDefault="002E1D4C" w:rsidP="001B1638">
            <w:pPr>
              <w:jc w:val="center"/>
              <w:rPr>
                <w:bCs/>
                <w:sz w:val="18"/>
                <w:szCs w:val="18"/>
                <w:lang w:val="zh-CN"/>
              </w:rPr>
            </w:pPr>
            <w:r w:rsidRPr="00743AC1">
              <w:rPr>
                <w:bCs/>
                <w:sz w:val="18"/>
                <w:szCs w:val="18"/>
                <w:lang w:val="zh-CN"/>
              </w:rPr>
              <w:t>10</w:t>
            </w:r>
          </w:p>
        </w:tc>
        <w:tc>
          <w:tcPr>
            <w:tcW w:w="1701" w:type="dxa"/>
          </w:tcPr>
          <w:p w:rsidR="002E1D4C" w:rsidRPr="00743AC1" w:rsidRDefault="002E1D4C" w:rsidP="001B1638">
            <w:pPr>
              <w:jc w:val="center"/>
              <w:rPr>
                <w:bCs/>
                <w:sz w:val="18"/>
                <w:szCs w:val="18"/>
                <w:lang w:val="zh-CN"/>
              </w:rPr>
            </w:pPr>
          </w:p>
        </w:tc>
      </w:tr>
    </w:tbl>
    <w:p w:rsidR="002E1D4C" w:rsidRDefault="002E1D4C" w:rsidP="002E1D4C">
      <w:pPr>
        <w:spacing w:beforeLines="100" w:before="312" w:afterLines="25" w:after="78" w:line="288" w:lineRule="auto"/>
        <w:rPr>
          <w:b/>
        </w:rPr>
      </w:pPr>
      <w:r>
        <w:rPr>
          <w:rFonts w:hint="eastAsia"/>
          <w:b/>
        </w:rPr>
        <w:t>2</w:t>
      </w:r>
      <w:r>
        <w:rPr>
          <w:rFonts w:hint="eastAsia"/>
          <w:b/>
        </w:rPr>
        <w:t>）</w:t>
      </w:r>
      <w:r>
        <w:rPr>
          <w:b/>
        </w:rPr>
        <w:t>评价要点</w:t>
      </w:r>
    </w:p>
    <w:p w:rsidR="002E1D4C" w:rsidRDefault="002E1D4C" w:rsidP="002E1D4C">
      <w:pPr>
        <w:spacing w:line="288" w:lineRule="auto"/>
      </w:pPr>
      <w:r>
        <w:rPr>
          <w:rFonts w:hint="eastAsia"/>
        </w:rPr>
        <w:t>项目采用可再利用材料：</w:t>
      </w:r>
      <w:r w:rsidRPr="00BE66CC">
        <w:rPr>
          <w:rFonts w:eastAsia="仿宋_GB2312" w:cs="仿宋_GB2312" w:hint="eastAsia"/>
        </w:rPr>
        <w:t>□</w:t>
      </w:r>
      <w:r w:rsidRPr="00B4060C">
        <w:rPr>
          <w:rFonts w:cs="宋体" w:hint="eastAsia"/>
          <w:lang w:val="zh-CN"/>
        </w:rPr>
        <w:t>是、</w:t>
      </w:r>
      <w:r w:rsidRPr="00BE66CC">
        <w:rPr>
          <w:rFonts w:eastAsia="仿宋_GB2312" w:cs="仿宋_GB2312" w:hint="eastAsia"/>
        </w:rPr>
        <w:t>□</w:t>
      </w:r>
      <w:r w:rsidRPr="00B4060C">
        <w:rPr>
          <w:rFonts w:cs="宋体" w:hint="eastAsia"/>
          <w:lang w:val="zh-CN"/>
        </w:rPr>
        <w:t>否</w:t>
      </w:r>
    </w:p>
    <w:p w:rsidR="002E1D4C" w:rsidRDefault="002E1D4C" w:rsidP="002E1D4C">
      <w:pPr>
        <w:spacing w:line="288" w:lineRule="auto"/>
      </w:pPr>
      <w:r>
        <w:rPr>
          <w:rFonts w:hint="eastAsia"/>
        </w:rPr>
        <w:t>项目采用可再循环材料：</w:t>
      </w:r>
      <w:r w:rsidRPr="00BE66CC">
        <w:rPr>
          <w:rFonts w:eastAsia="仿宋_GB2312" w:cs="仿宋_GB2312" w:hint="eastAsia"/>
        </w:rPr>
        <w:t>□</w:t>
      </w:r>
      <w:r w:rsidRPr="00B4060C">
        <w:rPr>
          <w:rFonts w:cs="宋体" w:hint="eastAsia"/>
          <w:lang w:val="zh-CN"/>
        </w:rPr>
        <w:t>是、</w:t>
      </w:r>
      <w:r w:rsidRPr="00BE66CC">
        <w:rPr>
          <w:rFonts w:eastAsia="仿宋_GB2312" w:cs="仿宋_GB2312" w:hint="eastAsia"/>
        </w:rPr>
        <w:t>□</w:t>
      </w:r>
      <w:r w:rsidRPr="00B4060C">
        <w:rPr>
          <w:rFonts w:cs="宋体" w:hint="eastAsia"/>
          <w:lang w:val="zh-CN"/>
        </w:rPr>
        <w:t>否</w:t>
      </w:r>
    </w:p>
    <w:p w:rsidR="002E1D4C" w:rsidRDefault="002E1D4C" w:rsidP="002E1D4C">
      <w:pPr>
        <w:rPr>
          <w:rFonts w:cs="宋体"/>
        </w:rPr>
      </w:pPr>
    </w:p>
    <w:p w:rsidR="002E1D4C" w:rsidRPr="00A64C99" w:rsidRDefault="002E1D4C" w:rsidP="002E1D4C">
      <w:pPr>
        <w:rPr>
          <w:sz w:val="30"/>
          <w:szCs w:val="30"/>
        </w:rPr>
      </w:pPr>
      <w:r w:rsidRPr="00E31A50">
        <w:rPr>
          <w:rFonts w:cs="宋体" w:hint="eastAsia"/>
        </w:rPr>
        <w:t>可再利用材料、可再循环材料</w:t>
      </w:r>
      <w:r>
        <w:rPr>
          <w:rFonts w:cs="宋体" w:hint="eastAsia"/>
        </w:rPr>
        <w:t>汇总统计表</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1"/>
        <w:gridCol w:w="1265"/>
        <w:gridCol w:w="1654"/>
        <w:gridCol w:w="1515"/>
        <w:gridCol w:w="1351"/>
      </w:tblGrid>
      <w:tr w:rsidR="002E1D4C" w:rsidRPr="00DE7807" w:rsidTr="001B1638">
        <w:trPr>
          <w:jc w:val="center"/>
        </w:trPr>
        <w:tc>
          <w:tcPr>
            <w:tcW w:w="2512" w:type="dxa"/>
            <w:gridSpan w:val="2"/>
            <w:vAlign w:val="center"/>
          </w:tcPr>
          <w:p w:rsidR="002E1D4C" w:rsidRPr="002F7136" w:rsidRDefault="002E1D4C" w:rsidP="001B1638">
            <w:pPr>
              <w:jc w:val="center"/>
              <w:rPr>
                <w:rFonts w:cs="宋体"/>
                <w:sz w:val="18"/>
                <w:szCs w:val="18"/>
              </w:rPr>
            </w:pPr>
            <w:r w:rsidRPr="002F7136">
              <w:rPr>
                <w:rFonts w:cs="宋体" w:hint="eastAsia"/>
                <w:sz w:val="18"/>
                <w:szCs w:val="18"/>
              </w:rPr>
              <w:t>建筑材料种类</w:t>
            </w:r>
          </w:p>
        </w:tc>
        <w:tc>
          <w:tcPr>
            <w:tcW w:w="1265" w:type="dxa"/>
            <w:vAlign w:val="center"/>
          </w:tcPr>
          <w:p w:rsidR="002E1D4C" w:rsidRPr="002F7136" w:rsidRDefault="002E1D4C" w:rsidP="001B1638">
            <w:pPr>
              <w:jc w:val="center"/>
              <w:rPr>
                <w:rFonts w:cs="宋体"/>
                <w:sz w:val="18"/>
                <w:szCs w:val="18"/>
              </w:rPr>
            </w:pPr>
            <w:r w:rsidRPr="002F7136">
              <w:rPr>
                <w:rFonts w:cs="宋体" w:hint="eastAsia"/>
                <w:sz w:val="18"/>
                <w:szCs w:val="18"/>
              </w:rPr>
              <w:t>重量（</w:t>
            </w:r>
            <w:r>
              <w:rPr>
                <w:rFonts w:cs="宋体" w:hint="eastAsia"/>
                <w:sz w:val="18"/>
                <w:szCs w:val="18"/>
              </w:rPr>
              <w:t>t</w:t>
            </w:r>
            <w:r w:rsidRPr="002F7136">
              <w:rPr>
                <w:rFonts w:cs="宋体" w:hint="eastAsia"/>
                <w:sz w:val="18"/>
                <w:szCs w:val="18"/>
              </w:rPr>
              <w:t>）</w:t>
            </w:r>
          </w:p>
        </w:tc>
        <w:tc>
          <w:tcPr>
            <w:tcW w:w="1654" w:type="dxa"/>
            <w:vAlign w:val="center"/>
          </w:tcPr>
          <w:p w:rsidR="002E1D4C" w:rsidRPr="002F7136" w:rsidRDefault="002E1D4C" w:rsidP="001B1638">
            <w:pPr>
              <w:jc w:val="center"/>
              <w:rPr>
                <w:rFonts w:cs="宋体"/>
                <w:sz w:val="18"/>
                <w:szCs w:val="18"/>
              </w:rPr>
            </w:pPr>
            <w:r>
              <w:rPr>
                <w:rFonts w:cs="宋体" w:hint="eastAsia"/>
                <w:sz w:val="18"/>
                <w:szCs w:val="18"/>
              </w:rPr>
              <w:t>使用部位</w:t>
            </w:r>
          </w:p>
        </w:tc>
        <w:tc>
          <w:tcPr>
            <w:tcW w:w="1515" w:type="dxa"/>
            <w:vAlign w:val="center"/>
          </w:tcPr>
          <w:p w:rsidR="002E1D4C" w:rsidRPr="002F7136" w:rsidRDefault="002E1D4C" w:rsidP="001B1638">
            <w:pPr>
              <w:jc w:val="center"/>
              <w:rPr>
                <w:rFonts w:cs="宋体"/>
                <w:sz w:val="18"/>
                <w:szCs w:val="18"/>
              </w:rPr>
            </w:pPr>
            <w:r w:rsidRPr="002F7136">
              <w:rPr>
                <w:rFonts w:cs="宋体" w:hint="eastAsia"/>
                <w:sz w:val="18"/>
                <w:szCs w:val="18"/>
              </w:rPr>
              <w:t>可再利用材料、可再循环材料总重量（</w:t>
            </w:r>
            <w:r w:rsidRPr="002F7136">
              <w:rPr>
                <w:rFonts w:cs="宋体"/>
                <w:sz w:val="18"/>
                <w:szCs w:val="18"/>
              </w:rPr>
              <w:t>t</w:t>
            </w:r>
            <w:r w:rsidRPr="002F7136">
              <w:rPr>
                <w:rFonts w:cs="宋体" w:hint="eastAsia"/>
                <w:sz w:val="18"/>
                <w:szCs w:val="18"/>
              </w:rPr>
              <w:t>）</w:t>
            </w:r>
          </w:p>
        </w:tc>
        <w:tc>
          <w:tcPr>
            <w:tcW w:w="1351" w:type="dxa"/>
            <w:vAlign w:val="center"/>
          </w:tcPr>
          <w:p w:rsidR="002E1D4C" w:rsidRPr="002F7136" w:rsidRDefault="002E1D4C" w:rsidP="001B1638">
            <w:pPr>
              <w:jc w:val="center"/>
              <w:rPr>
                <w:rFonts w:cs="宋体"/>
                <w:sz w:val="18"/>
                <w:szCs w:val="18"/>
              </w:rPr>
            </w:pPr>
            <w:r w:rsidRPr="002F7136">
              <w:rPr>
                <w:rFonts w:cs="宋体" w:hint="eastAsia"/>
                <w:sz w:val="18"/>
                <w:szCs w:val="18"/>
              </w:rPr>
              <w:t>建筑材料总重量（</w:t>
            </w:r>
            <w:r w:rsidRPr="002F7136">
              <w:rPr>
                <w:rFonts w:cs="宋体"/>
                <w:sz w:val="18"/>
                <w:szCs w:val="18"/>
              </w:rPr>
              <w:t>t</w:t>
            </w:r>
            <w:r w:rsidRPr="002F7136">
              <w:rPr>
                <w:rFonts w:cs="宋体" w:hint="eastAsia"/>
                <w:sz w:val="18"/>
                <w:szCs w:val="18"/>
              </w:rPr>
              <w:t>）</w:t>
            </w:r>
          </w:p>
        </w:tc>
      </w:tr>
      <w:tr w:rsidR="002E1D4C" w:rsidRPr="00DE7807" w:rsidTr="001B1638">
        <w:trPr>
          <w:trHeight w:val="340"/>
          <w:jc w:val="center"/>
        </w:trPr>
        <w:tc>
          <w:tcPr>
            <w:tcW w:w="1101" w:type="dxa"/>
            <w:vMerge w:val="restart"/>
            <w:vAlign w:val="center"/>
          </w:tcPr>
          <w:p w:rsidR="002E1D4C" w:rsidRPr="002F7136" w:rsidRDefault="002E1D4C" w:rsidP="001B1638">
            <w:pPr>
              <w:jc w:val="center"/>
              <w:rPr>
                <w:rFonts w:cs="宋体"/>
                <w:sz w:val="18"/>
                <w:szCs w:val="18"/>
              </w:rPr>
            </w:pPr>
            <w:r w:rsidRPr="002F7136">
              <w:rPr>
                <w:rFonts w:cs="宋体" w:hint="eastAsia"/>
                <w:sz w:val="18"/>
                <w:szCs w:val="18"/>
              </w:rPr>
              <w:t>可再利用材料</w:t>
            </w:r>
          </w:p>
        </w:tc>
        <w:tc>
          <w:tcPr>
            <w:tcW w:w="1411" w:type="dxa"/>
            <w:vAlign w:val="center"/>
          </w:tcPr>
          <w:p w:rsidR="002E1D4C" w:rsidRPr="002F7136" w:rsidRDefault="002E1D4C" w:rsidP="001B1638">
            <w:pPr>
              <w:jc w:val="center"/>
              <w:rPr>
                <w:rFonts w:cs="宋体"/>
                <w:sz w:val="18"/>
                <w:szCs w:val="18"/>
              </w:rPr>
            </w:pP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restart"/>
            <w:vAlign w:val="center"/>
          </w:tcPr>
          <w:p w:rsidR="002E1D4C" w:rsidRPr="002F7136" w:rsidRDefault="002E1D4C" w:rsidP="001B1638">
            <w:pPr>
              <w:jc w:val="center"/>
              <w:rPr>
                <w:rFonts w:ascii="仿宋_GB2312" w:eastAsia="仿宋_GB2312" w:cs="仿宋_GB2312"/>
                <w:sz w:val="18"/>
                <w:szCs w:val="18"/>
              </w:rPr>
            </w:pPr>
          </w:p>
        </w:tc>
        <w:tc>
          <w:tcPr>
            <w:tcW w:w="1351" w:type="dxa"/>
            <w:vMerge w:val="restart"/>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restart"/>
            <w:vAlign w:val="center"/>
          </w:tcPr>
          <w:p w:rsidR="002E1D4C" w:rsidRDefault="002E1D4C" w:rsidP="001B1638">
            <w:pPr>
              <w:jc w:val="center"/>
              <w:rPr>
                <w:rFonts w:cs="宋体"/>
                <w:sz w:val="18"/>
                <w:szCs w:val="18"/>
              </w:rPr>
            </w:pPr>
            <w:r w:rsidRPr="002F7136">
              <w:rPr>
                <w:rFonts w:cs="宋体" w:hint="eastAsia"/>
                <w:sz w:val="18"/>
                <w:szCs w:val="18"/>
              </w:rPr>
              <w:t>可</w:t>
            </w:r>
            <w:r>
              <w:rPr>
                <w:rFonts w:cs="宋体" w:hint="eastAsia"/>
                <w:sz w:val="18"/>
                <w:szCs w:val="18"/>
              </w:rPr>
              <w:t>再</w:t>
            </w:r>
            <w:r w:rsidRPr="002F7136">
              <w:rPr>
                <w:rFonts w:cs="宋体" w:hint="eastAsia"/>
                <w:sz w:val="18"/>
                <w:szCs w:val="18"/>
              </w:rPr>
              <w:t>循环</w:t>
            </w:r>
          </w:p>
          <w:p w:rsidR="002E1D4C" w:rsidRPr="002F7136" w:rsidRDefault="002E1D4C" w:rsidP="001B1638">
            <w:pPr>
              <w:jc w:val="center"/>
              <w:rPr>
                <w:rFonts w:cs="宋体"/>
                <w:sz w:val="18"/>
                <w:szCs w:val="18"/>
              </w:rPr>
            </w:pPr>
            <w:r w:rsidRPr="002F7136">
              <w:rPr>
                <w:rFonts w:cs="宋体" w:hint="eastAsia"/>
                <w:sz w:val="18"/>
                <w:szCs w:val="18"/>
              </w:rPr>
              <w:t>材料</w:t>
            </w: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钢材</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铜</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木材</w:t>
            </w:r>
            <w:r>
              <w:rPr>
                <w:rFonts w:cs="宋体" w:hint="eastAsia"/>
                <w:sz w:val="18"/>
                <w:szCs w:val="18"/>
              </w:rPr>
              <w:t>（不含</w:t>
            </w:r>
            <w:r w:rsidRPr="00880637">
              <w:rPr>
                <w:rFonts w:cs="宋体" w:hint="eastAsia"/>
                <w:bCs/>
                <w:sz w:val="18"/>
                <w:szCs w:val="18"/>
              </w:rPr>
              <w:t>施工时的木质模板</w:t>
            </w:r>
            <w:r>
              <w:rPr>
                <w:rFonts w:cs="宋体" w:hint="eastAsia"/>
                <w:sz w:val="18"/>
                <w:szCs w:val="18"/>
              </w:rPr>
              <w:t>）</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铝合金型材</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石膏制品</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门窗玻璃</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玻璃幕墙</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291"/>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其他</w:t>
            </w:r>
            <w:r>
              <w:rPr>
                <w:rFonts w:cs="宋体" w:hint="eastAsia"/>
                <w:sz w:val="18"/>
                <w:szCs w:val="18"/>
              </w:rPr>
              <w:t>（需提供可再循环性能的说明）</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restart"/>
            <w:vAlign w:val="center"/>
          </w:tcPr>
          <w:p w:rsidR="002E1D4C" w:rsidRPr="002F7136" w:rsidRDefault="002E1D4C" w:rsidP="001B1638">
            <w:pPr>
              <w:jc w:val="center"/>
              <w:rPr>
                <w:rFonts w:cs="宋体"/>
                <w:sz w:val="18"/>
                <w:szCs w:val="18"/>
              </w:rPr>
            </w:pPr>
            <w:r w:rsidRPr="002F7136">
              <w:rPr>
                <w:rFonts w:cs="宋体" w:hint="eastAsia"/>
                <w:sz w:val="18"/>
                <w:szCs w:val="18"/>
              </w:rPr>
              <w:t>其他材料</w:t>
            </w: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混凝土</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建筑砂浆</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乳胶漆</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屋面卷材</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石材</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砌块</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DE7807" w:rsidTr="001B1638">
        <w:trPr>
          <w:trHeight w:val="340"/>
          <w:jc w:val="center"/>
        </w:trPr>
        <w:tc>
          <w:tcPr>
            <w:tcW w:w="1101" w:type="dxa"/>
            <w:vMerge/>
            <w:vAlign w:val="center"/>
          </w:tcPr>
          <w:p w:rsidR="002E1D4C" w:rsidRPr="002F7136" w:rsidRDefault="002E1D4C" w:rsidP="001B1638">
            <w:pPr>
              <w:jc w:val="center"/>
              <w:rPr>
                <w:rFonts w:cs="宋体"/>
                <w:sz w:val="18"/>
                <w:szCs w:val="18"/>
              </w:rPr>
            </w:pPr>
          </w:p>
        </w:tc>
        <w:tc>
          <w:tcPr>
            <w:tcW w:w="1411" w:type="dxa"/>
            <w:vAlign w:val="center"/>
          </w:tcPr>
          <w:p w:rsidR="002E1D4C" w:rsidRPr="002F7136" w:rsidRDefault="002E1D4C" w:rsidP="001B1638">
            <w:pPr>
              <w:jc w:val="center"/>
              <w:rPr>
                <w:rFonts w:cs="宋体"/>
                <w:sz w:val="18"/>
                <w:szCs w:val="18"/>
              </w:rPr>
            </w:pPr>
            <w:r w:rsidRPr="002F7136">
              <w:rPr>
                <w:rFonts w:cs="宋体" w:hint="eastAsia"/>
                <w:sz w:val="18"/>
                <w:szCs w:val="18"/>
              </w:rPr>
              <w:t>其他</w:t>
            </w:r>
          </w:p>
        </w:tc>
        <w:tc>
          <w:tcPr>
            <w:tcW w:w="1265" w:type="dxa"/>
            <w:vAlign w:val="center"/>
          </w:tcPr>
          <w:p w:rsidR="002E1D4C" w:rsidRPr="002F7136" w:rsidRDefault="002E1D4C" w:rsidP="001B1638">
            <w:pPr>
              <w:jc w:val="center"/>
              <w:rPr>
                <w:rFonts w:cs="宋体"/>
                <w:sz w:val="18"/>
                <w:szCs w:val="18"/>
              </w:rPr>
            </w:pPr>
          </w:p>
        </w:tc>
        <w:tc>
          <w:tcPr>
            <w:tcW w:w="1654" w:type="dxa"/>
            <w:vAlign w:val="center"/>
          </w:tcPr>
          <w:p w:rsidR="002E1D4C" w:rsidRPr="002F7136" w:rsidRDefault="002E1D4C" w:rsidP="001B1638">
            <w:pPr>
              <w:jc w:val="center"/>
              <w:rPr>
                <w:rFonts w:cs="宋体"/>
                <w:sz w:val="18"/>
                <w:szCs w:val="18"/>
              </w:rPr>
            </w:pPr>
          </w:p>
        </w:tc>
        <w:tc>
          <w:tcPr>
            <w:tcW w:w="1515" w:type="dxa"/>
            <w:vMerge/>
            <w:vAlign w:val="center"/>
          </w:tcPr>
          <w:p w:rsidR="002E1D4C" w:rsidRPr="002F7136" w:rsidRDefault="002E1D4C" w:rsidP="001B1638">
            <w:pPr>
              <w:jc w:val="center"/>
              <w:rPr>
                <w:rFonts w:ascii="仿宋_GB2312" w:eastAsia="仿宋_GB2312" w:cs="仿宋_GB2312"/>
                <w:sz w:val="18"/>
                <w:szCs w:val="18"/>
              </w:rPr>
            </w:pPr>
          </w:p>
        </w:tc>
        <w:tc>
          <w:tcPr>
            <w:tcW w:w="1351" w:type="dxa"/>
            <w:vMerge/>
            <w:vAlign w:val="center"/>
          </w:tcPr>
          <w:p w:rsidR="002E1D4C" w:rsidRPr="002F7136" w:rsidRDefault="002E1D4C" w:rsidP="001B1638">
            <w:pPr>
              <w:jc w:val="center"/>
              <w:rPr>
                <w:rFonts w:ascii="仿宋_GB2312" w:eastAsia="仿宋_GB2312" w:cs="仿宋_GB2312"/>
                <w:sz w:val="18"/>
                <w:szCs w:val="18"/>
              </w:rPr>
            </w:pPr>
          </w:p>
        </w:tc>
      </w:tr>
      <w:tr w:rsidR="002E1D4C" w:rsidRPr="00717561" w:rsidTr="001B1638">
        <w:trPr>
          <w:trHeight w:val="340"/>
          <w:jc w:val="center"/>
        </w:trPr>
        <w:tc>
          <w:tcPr>
            <w:tcW w:w="8297" w:type="dxa"/>
            <w:gridSpan w:val="6"/>
            <w:vAlign w:val="center"/>
          </w:tcPr>
          <w:p w:rsidR="002E1D4C" w:rsidRPr="000B0E57" w:rsidRDefault="002E1D4C" w:rsidP="001B1638">
            <w:pPr>
              <w:rPr>
                <w:rFonts w:ascii="仿宋_GB2312" w:eastAsia="仿宋_GB2312" w:cs="仿宋_GB2312"/>
                <w:sz w:val="18"/>
                <w:szCs w:val="18"/>
              </w:rPr>
            </w:pPr>
            <w:r w:rsidRPr="002F7136">
              <w:rPr>
                <w:rFonts w:cs="宋体" w:hint="eastAsia"/>
                <w:sz w:val="18"/>
                <w:szCs w:val="18"/>
              </w:rPr>
              <w:t>可再利用材料和可再循环材料使用重量占所有建筑材料总重量的比例</w:t>
            </w:r>
            <w:r>
              <w:rPr>
                <w:rFonts w:cs="宋体" w:hint="eastAsia"/>
                <w:sz w:val="18"/>
                <w:szCs w:val="18"/>
              </w:rPr>
              <w:t>：</w:t>
            </w:r>
            <w:r>
              <w:rPr>
                <w:rFonts w:cs="宋体" w:hint="eastAsia"/>
                <w:sz w:val="18"/>
                <w:szCs w:val="18"/>
              </w:rPr>
              <w:t xml:space="preserve">                </w:t>
            </w:r>
            <w:r>
              <w:rPr>
                <w:rFonts w:cs="宋体" w:hint="eastAsia"/>
                <w:sz w:val="18"/>
                <w:szCs w:val="18"/>
              </w:rPr>
              <w:t>（</w:t>
            </w:r>
            <w:r>
              <w:rPr>
                <w:rFonts w:cs="宋体" w:hint="eastAsia"/>
                <w:sz w:val="18"/>
                <w:szCs w:val="18"/>
              </w:rPr>
              <w:t>%</w:t>
            </w:r>
            <w:r>
              <w:rPr>
                <w:rFonts w:cs="宋体" w:hint="eastAsia"/>
                <w:sz w:val="18"/>
                <w:szCs w:val="18"/>
              </w:rPr>
              <w:t>）</w:t>
            </w:r>
          </w:p>
        </w:tc>
      </w:tr>
      <w:tr w:rsidR="002E1D4C" w:rsidRPr="00717561" w:rsidTr="001B1638">
        <w:trPr>
          <w:trHeight w:val="340"/>
          <w:jc w:val="center"/>
        </w:trPr>
        <w:tc>
          <w:tcPr>
            <w:tcW w:w="8297" w:type="dxa"/>
            <w:gridSpan w:val="6"/>
            <w:vAlign w:val="center"/>
          </w:tcPr>
          <w:p w:rsidR="002E1D4C" w:rsidRPr="002F7136" w:rsidRDefault="002E1D4C" w:rsidP="001B1638">
            <w:pPr>
              <w:rPr>
                <w:rFonts w:cs="宋体"/>
                <w:sz w:val="18"/>
                <w:szCs w:val="18"/>
              </w:rPr>
            </w:pPr>
            <w:r>
              <w:rPr>
                <w:rFonts w:cs="宋体" w:hint="eastAsia"/>
                <w:sz w:val="18"/>
                <w:szCs w:val="18"/>
              </w:rPr>
              <w:t>注：每个强度等级的混凝土视为一种建筑材料，即</w:t>
            </w:r>
            <w:r>
              <w:rPr>
                <w:rFonts w:cs="宋体"/>
                <w:sz w:val="18"/>
                <w:szCs w:val="18"/>
              </w:rPr>
              <w:t>C30</w:t>
            </w:r>
            <w:r>
              <w:rPr>
                <w:rFonts w:cs="宋体" w:hint="eastAsia"/>
                <w:sz w:val="18"/>
                <w:szCs w:val="18"/>
              </w:rPr>
              <w:t>混凝土、</w:t>
            </w:r>
            <w:r>
              <w:rPr>
                <w:rFonts w:cs="宋体"/>
                <w:sz w:val="18"/>
                <w:szCs w:val="18"/>
              </w:rPr>
              <w:t>C40</w:t>
            </w:r>
            <w:r>
              <w:rPr>
                <w:rFonts w:cs="宋体" w:hint="eastAsia"/>
                <w:sz w:val="18"/>
                <w:szCs w:val="18"/>
              </w:rPr>
              <w:t>混凝土为两种建筑材料。</w:t>
            </w:r>
          </w:p>
        </w:tc>
      </w:tr>
    </w:tbl>
    <w:p w:rsidR="002E1D4C" w:rsidRDefault="002E1D4C" w:rsidP="002E1D4C"/>
    <w:p w:rsidR="002E1D4C" w:rsidRPr="00DA4560" w:rsidRDefault="002E1D4C" w:rsidP="002E1D4C">
      <w:pPr>
        <w:spacing w:beforeLines="100" w:before="312" w:afterLines="25" w:after="78" w:line="288" w:lineRule="auto"/>
        <w:rPr>
          <w:b/>
        </w:rPr>
      </w:pPr>
      <w:r w:rsidRPr="00DA4560">
        <w:rPr>
          <w:b/>
        </w:rPr>
        <w:t>3</w:t>
      </w:r>
      <w:r w:rsidRPr="00DA4560">
        <w:rPr>
          <w:rFonts w:hint="eastAsia"/>
          <w:b/>
        </w:rPr>
        <w:t>）证明</w:t>
      </w:r>
      <w:r w:rsidRPr="00DA4560">
        <w:rPr>
          <w:b/>
        </w:rPr>
        <w:t>材料</w:t>
      </w:r>
    </w:p>
    <w:p w:rsidR="002E1D4C" w:rsidRPr="00504FC0" w:rsidRDefault="002E1D4C" w:rsidP="002E1D4C">
      <w:pPr>
        <w:spacing w:line="288" w:lineRule="auto"/>
        <w:rPr>
          <w:b/>
          <w:bCs/>
          <w:color w:val="000000" w:themeColor="text1"/>
        </w:rPr>
      </w:pPr>
      <w:r w:rsidRPr="00504FC0">
        <w:rPr>
          <w:rFonts w:hint="eastAsia"/>
          <w:b/>
          <w:bCs/>
          <w:color w:val="000000" w:themeColor="text1"/>
        </w:rPr>
        <w:t>提交材料</w:t>
      </w:r>
      <w:r w:rsidRPr="00504FC0">
        <w:rPr>
          <w:b/>
          <w:bCs/>
          <w:color w:val="000000" w:themeColor="text1"/>
        </w:rPr>
        <w:t>及要求</w:t>
      </w:r>
      <w:r w:rsidRPr="00504FC0">
        <w:rPr>
          <w:rFonts w:hint="eastAsia"/>
          <w:b/>
          <w:bCs/>
          <w:color w:val="000000" w:themeColor="text1"/>
        </w:rPr>
        <w:t>：</w:t>
      </w:r>
    </w:p>
    <w:p w:rsidR="002E1D4C" w:rsidRPr="00612161" w:rsidRDefault="002E1D4C" w:rsidP="002E1D4C">
      <w:pPr>
        <w:numPr>
          <w:ilvl w:val="0"/>
          <w:numId w:val="1"/>
        </w:numPr>
        <w:spacing w:line="288" w:lineRule="auto"/>
      </w:pPr>
      <w:r w:rsidRPr="00612161">
        <w:rPr>
          <w:rFonts w:hint="eastAsia"/>
        </w:rPr>
        <w:t>可再利用</w:t>
      </w:r>
      <w:r w:rsidRPr="00612161">
        <w:t>材料和</w:t>
      </w:r>
      <w:r w:rsidRPr="00612161">
        <w:rPr>
          <w:rFonts w:hint="eastAsia"/>
        </w:rPr>
        <w:t>可再循环材料利用比例计算书：其中的数据应与工程概预算清单中一致；</w:t>
      </w:r>
    </w:p>
    <w:p w:rsidR="002E1D4C" w:rsidRPr="00612161" w:rsidRDefault="002E1D4C" w:rsidP="002E1D4C">
      <w:pPr>
        <w:numPr>
          <w:ilvl w:val="0"/>
          <w:numId w:val="1"/>
        </w:numPr>
        <w:spacing w:line="288" w:lineRule="auto"/>
      </w:pPr>
      <w:r w:rsidRPr="00612161">
        <w:t>工程概预算材料清单</w:t>
      </w:r>
      <w:r w:rsidRPr="00612161">
        <w:rPr>
          <w:rFonts w:hint="eastAsia"/>
        </w:rPr>
        <w:t>：有</w:t>
      </w:r>
      <w:r w:rsidRPr="00612161">
        <w:t>明确的工程量统计。</w:t>
      </w:r>
    </w:p>
    <w:p w:rsidR="002E1D4C" w:rsidRDefault="002E1D4C" w:rsidP="002E1D4C">
      <w:pPr>
        <w:spacing w:line="288" w:lineRule="auto"/>
        <w:rPr>
          <w:rFonts w:cs="宋体"/>
        </w:rPr>
      </w:pPr>
    </w:p>
    <w:p w:rsidR="002E1D4C" w:rsidRPr="00290737" w:rsidRDefault="002E1D4C" w:rsidP="002E1D4C">
      <w:pPr>
        <w:spacing w:line="288" w:lineRule="auto"/>
        <w:rPr>
          <w:b/>
        </w:rPr>
      </w:pPr>
      <w:r w:rsidRPr="00290737">
        <w:rPr>
          <w:rFonts w:cs="宋体"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2E1D4C" w:rsidRPr="00A64C99" w:rsidTr="001B1638">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2E1D4C" w:rsidRPr="00D30A69" w:rsidRDefault="002E1D4C" w:rsidP="001B1638">
            <w:pPr>
              <w:spacing w:line="288" w:lineRule="auto"/>
              <w:rPr>
                <w:b/>
              </w:rPr>
            </w:pPr>
          </w:p>
        </w:tc>
      </w:tr>
    </w:tbl>
    <w:p w:rsidR="002E1D4C" w:rsidRDefault="002E1D4C" w:rsidP="002E1D4C">
      <w:pPr>
        <w:spacing w:line="288" w:lineRule="auto"/>
        <w:rPr>
          <w:b/>
        </w:rPr>
      </w:pPr>
    </w:p>
    <w:p w:rsidR="002E1D4C" w:rsidRPr="00A64C99" w:rsidRDefault="002E1D4C" w:rsidP="002E1D4C"/>
    <w:p w:rsidR="002E1D4C" w:rsidRDefault="002E1D4C" w:rsidP="002E1D4C">
      <w:pPr>
        <w:spacing w:line="288" w:lineRule="auto"/>
        <w:rPr>
          <w:b/>
        </w:rPr>
        <w:sectPr w:rsidR="002E1D4C">
          <w:pgSz w:w="11906" w:h="16838"/>
          <w:pgMar w:top="1440" w:right="1800" w:bottom="1440" w:left="1800" w:header="851" w:footer="992" w:gutter="0"/>
          <w:cols w:space="425"/>
          <w:docGrid w:type="lines" w:linePitch="312"/>
        </w:sectPr>
      </w:pPr>
    </w:p>
    <w:p w:rsidR="005F4B4A" w:rsidRDefault="007169C6">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C6" w:rsidRDefault="007169C6" w:rsidP="002E1D4C">
      <w:r>
        <w:separator/>
      </w:r>
    </w:p>
  </w:endnote>
  <w:endnote w:type="continuationSeparator" w:id="0">
    <w:p w:rsidR="007169C6" w:rsidRDefault="007169C6" w:rsidP="002E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C6" w:rsidRDefault="007169C6" w:rsidP="002E1D4C">
      <w:r>
        <w:separator/>
      </w:r>
    </w:p>
  </w:footnote>
  <w:footnote w:type="continuationSeparator" w:id="0">
    <w:p w:rsidR="007169C6" w:rsidRDefault="007169C6" w:rsidP="002E1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64594"/>
    <w:multiLevelType w:val="hybridMultilevel"/>
    <w:tmpl w:val="11FC35E0"/>
    <w:lvl w:ilvl="0" w:tplc="D9169ECA">
      <w:start w:val="1"/>
      <w:numFmt w:val="decimal"/>
      <w:lvlText w:val="%1、"/>
      <w:lvlJc w:val="left"/>
      <w:pPr>
        <w:ind w:left="420" w:hanging="420"/>
      </w:pPr>
      <w:rPr>
        <w:rFonts w:cs="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878"/>
    <w:rsid w:val="002E1D4C"/>
    <w:rsid w:val="0036396F"/>
    <w:rsid w:val="00383878"/>
    <w:rsid w:val="007169C6"/>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E83BD-C4EA-43E1-A60C-CC180B95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D4C"/>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2E1D4C"/>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1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1D4C"/>
    <w:rPr>
      <w:sz w:val="18"/>
      <w:szCs w:val="18"/>
    </w:rPr>
  </w:style>
  <w:style w:type="paragraph" w:styleId="a4">
    <w:name w:val="footer"/>
    <w:basedOn w:val="a"/>
    <w:link w:val="Char0"/>
    <w:uiPriority w:val="99"/>
    <w:unhideWhenUsed/>
    <w:rsid w:val="002E1D4C"/>
    <w:pPr>
      <w:tabs>
        <w:tab w:val="center" w:pos="4153"/>
        <w:tab w:val="right" w:pos="8306"/>
      </w:tabs>
      <w:snapToGrid w:val="0"/>
      <w:jc w:val="left"/>
    </w:pPr>
    <w:rPr>
      <w:sz w:val="18"/>
      <w:szCs w:val="18"/>
    </w:rPr>
  </w:style>
  <w:style w:type="character" w:customStyle="1" w:styleId="Char0">
    <w:name w:val="页脚 Char"/>
    <w:basedOn w:val="a0"/>
    <w:link w:val="a4"/>
    <w:uiPriority w:val="99"/>
    <w:rsid w:val="002E1D4C"/>
    <w:rPr>
      <w:sz w:val="18"/>
      <w:szCs w:val="18"/>
    </w:rPr>
  </w:style>
  <w:style w:type="character" w:customStyle="1" w:styleId="4Char">
    <w:name w:val="标题 4 Char"/>
    <w:basedOn w:val="a0"/>
    <w:link w:val="4"/>
    <w:rsid w:val="002E1D4C"/>
    <w:rPr>
      <w:rFonts w:ascii="tim" w:eastAsia="黑体" w:hAnsi="tim" w:cstheme="majorBidi"/>
      <w:b/>
      <w:bCs/>
      <w:sz w:val="24"/>
      <w:szCs w:val="28"/>
    </w:rPr>
  </w:style>
  <w:style w:type="table" w:styleId="a5">
    <w:name w:val="Table Grid"/>
    <w:basedOn w:val="a1"/>
    <w:rsid w:val="002E1D4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2017-11-13T07:48:00Z</dcterms:created>
  <dcterms:modified xsi:type="dcterms:W3CDTF">2017-11-13T07:48:00Z</dcterms:modified>
</cp:coreProperties>
</file>