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95" w:rsidRDefault="00B14595" w:rsidP="00B14595">
      <w:pPr>
        <w:pStyle w:val="4"/>
        <w:rPr>
          <w:rFonts w:cs="宋体" w:hint="eastAsia"/>
          <w:szCs w:val="24"/>
        </w:rPr>
      </w:pPr>
      <w:r w:rsidRPr="00EB4492">
        <w:t>7.2.</w:t>
      </w:r>
      <w:r w:rsidRPr="00EB4492">
        <w:rPr>
          <w:rFonts w:hint="eastAsia"/>
        </w:rPr>
        <w:t>4</w:t>
      </w:r>
      <w:r w:rsidRPr="0051759B">
        <w:rPr>
          <w:rFonts w:hint="eastAsia"/>
        </w:rPr>
        <w:t>公共建筑中可变换功能的室内空间采用灵活隔断（墙），且采用可重复使用的隔断</w:t>
      </w:r>
      <w:r w:rsidRPr="00EB4492">
        <w:t>。</w:t>
      </w:r>
    </w:p>
    <w:p w:rsidR="00B14595" w:rsidRDefault="00B14595" w:rsidP="00B1459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）参评情况</w:t>
      </w:r>
    </w:p>
    <w:p w:rsidR="00B14595" w:rsidRPr="00E75B5D" w:rsidRDefault="00B14595" w:rsidP="00B14595">
      <w:pPr>
        <w:spacing w:line="288" w:lineRule="auto"/>
        <w:rPr>
          <w:b/>
          <w:bCs/>
          <w:lang w:val="zh-CN"/>
        </w:rPr>
      </w:pPr>
      <w:r w:rsidRPr="00E75B5D">
        <w:rPr>
          <w:rFonts w:ascii="宋体" w:hAnsi="宋体"/>
          <w:b/>
          <w:bCs/>
          <w:lang w:val="zh-CN"/>
        </w:rPr>
        <w:t>□</w:t>
      </w:r>
      <w:r w:rsidRPr="00E75B5D">
        <w:rPr>
          <w:rFonts w:hint="eastAsia"/>
          <w:lang w:val="zh-CN"/>
        </w:rPr>
        <w:t>参评；</w:t>
      </w: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不参评</w:t>
      </w:r>
    </w:p>
    <w:p w:rsidR="00B14595" w:rsidRPr="005D252C" w:rsidRDefault="00B14595" w:rsidP="00B14595">
      <w:pPr>
        <w:spacing w:line="288" w:lineRule="auto"/>
        <w:rPr>
          <w:b/>
        </w:rPr>
      </w:pPr>
      <w:r>
        <w:rPr>
          <w:rFonts w:hint="eastAsia"/>
        </w:rPr>
        <w:t>不参评条件</w:t>
      </w:r>
      <w:r w:rsidRPr="00E2156D">
        <w:rPr>
          <w:rFonts w:hint="eastAsia"/>
        </w:rPr>
        <w:t>：</w:t>
      </w:r>
      <w:r w:rsidRPr="00E2156D">
        <w:rPr>
          <w:rFonts w:ascii="宋体" w:hAnsi="宋体"/>
          <w:bCs/>
          <w:lang w:val="zh-CN"/>
        </w:rPr>
        <w:t>□</w:t>
      </w:r>
      <w:r>
        <w:rPr>
          <w:rFonts w:ascii="宋体" w:hAnsi="宋体" w:hint="eastAsia"/>
          <w:bCs/>
          <w:lang w:val="zh-CN"/>
        </w:rPr>
        <w:t>非办公楼、商店等具有可变功能空间的建筑</w:t>
      </w:r>
    </w:p>
    <w:p w:rsidR="00B14595" w:rsidRPr="00DA4560" w:rsidRDefault="00B14595" w:rsidP="00B1459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tbl>
      <w:tblPr>
        <w:tblStyle w:val="a7"/>
        <w:tblW w:w="8109" w:type="dxa"/>
        <w:jc w:val="center"/>
        <w:tblLook w:val="04A0" w:firstRow="1" w:lastRow="0" w:firstColumn="1" w:lastColumn="0" w:noHBand="0" w:noVBand="1"/>
      </w:tblPr>
      <w:tblGrid>
        <w:gridCol w:w="676"/>
        <w:gridCol w:w="2628"/>
        <w:gridCol w:w="1701"/>
        <w:gridCol w:w="1516"/>
        <w:gridCol w:w="1588"/>
      </w:tblGrid>
      <w:tr w:rsidR="00B14595" w:rsidRPr="00621CB0" w:rsidTr="001B1638">
        <w:trPr>
          <w:trHeight w:val="340"/>
          <w:jc w:val="center"/>
        </w:trPr>
        <w:tc>
          <w:tcPr>
            <w:tcW w:w="67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329" w:type="dxa"/>
            <w:gridSpan w:val="2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51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B14595" w:rsidRPr="00621CB0" w:rsidTr="001B1638">
        <w:trPr>
          <w:trHeight w:val="340"/>
          <w:jc w:val="center"/>
        </w:trPr>
        <w:tc>
          <w:tcPr>
            <w:tcW w:w="676" w:type="dxa"/>
            <w:vMerge w:val="restart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628" w:type="dxa"/>
            <w:vMerge w:val="restart"/>
            <w:vAlign w:val="center"/>
          </w:tcPr>
          <w:p w:rsidR="00B14595" w:rsidRPr="004E1022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E1022">
              <w:rPr>
                <w:rFonts w:hint="eastAsia"/>
                <w:bCs/>
                <w:sz w:val="18"/>
                <w:szCs w:val="18"/>
              </w:rPr>
              <w:t>可重复使用隔断（墙）比例</w:t>
            </w:r>
            <w:r w:rsidRPr="004E1022">
              <w:rPr>
                <w:rFonts w:hint="eastAsia"/>
                <w:bCs/>
                <w:i/>
                <w:sz w:val="18"/>
                <w:szCs w:val="18"/>
              </w:rPr>
              <w:t>R</w:t>
            </w:r>
            <w:r w:rsidRPr="004E1022">
              <w:rPr>
                <w:rFonts w:hint="eastAsia"/>
                <w:bCs/>
                <w:i/>
                <w:sz w:val="18"/>
                <w:szCs w:val="18"/>
                <w:vertAlign w:val="subscript"/>
              </w:rPr>
              <w:t>rp</w:t>
            </w:r>
          </w:p>
        </w:tc>
        <w:tc>
          <w:tcPr>
            <w:tcW w:w="1701" w:type="dxa"/>
            <w:vAlign w:val="center"/>
          </w:tcPr>
          <w:p w:rsidR="00B14595" w:rsidRPr="004E1022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E1022">
              <w:rPr>
                <w:rFonts w:hint="eastAsia"/>
                <w:bCs/>
                <w:sz w:val="18"/>
                <w:szCs w:val="18"/>
              </w:rPr>
              <w:t>30</w:t>
            </w:r>
            <w:r w:rsidRPr="004E1022">
              <w:rPr>
                <w:bCs/>
                <w:sz w:val="18"/>
                <w:szCs w:val="18"/>
              </w:rPr>
              <w:t>%</w:t>
            </w:r>
            <w:r w:rsidRPr="004E102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 w:rsidRPr="004E1022">
              <w:rPr>
                <w:rFonts w:hint="eastAsia"/>
                <w:bCs/>
                <w:i/>
                <w:sz w:val="18"/>
                <w:szCs w:val="18"/>
              </w:rPr>
              <w:t>R</w:t>
            </w:r>
            <w:r w:rsidRPr="004E1022">
              <w:rPr>
                <w:rFonts w:hint="eastAsia"/>
                <w:bCs/>
                <w:i/>
                <w:sz w:val="18"/>
                <w:szCs w:val="18"/>
                <w:vertAlign w:val="subscript"/>
              </w:rPr>
              <w:t>rp</w:t>
            </w:r>
            <w:r w:rsidRPr="004E1022">
              <w:rPr>
                <w:rFonts w:hint="eastAsia"/>
                <w:bCs/>
                <w:sz w:val="18"/>
                <w:szCs w:val="18"/>
              </w:rPr>
              <w:t>＜</w:t>
            </w:r>
            <w:r w:rsidRPr="004E1022">
              <w:rPr>
                <w:rFonts w:eastAsiaTheme="minorEastAsia" w:hint="eastAsia"/>
                <w:bCs/>
                <w:sz w:val="18"/>
                <w:szCs w:val="18"/>
              </w:rPr>
              <w:t>50</w:t>
            </w:r>
            <w:r w:rsidRPr="004E1022">
              <w:rPr>
                <w:rFonts w:eastAsiaTheme="minorEastAsia"/>
                <w:bCs/>
                <w:sz w:val="18"/>
                <w:szCs w:val="18"/>
              </w:rPr>
              <w:t>%</w:t>
            </w:r>
          </w:p>
        </w:tc>
        <w:tc>
          <w:tcPr>
            <w:tcW w:w="151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588" w:type="dxa"/>
            <w:vMerge w:val="restart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B14595" w:rsidRPr="00621CB0" w:rsidTr="001B1638">
        <w:trPr>
          <w:trHeight w:val="340"/>
          <w:jc w:val="center"/>
        </w:trPr>
        <w:tc>
          <w:tcPr>
            <w:tcW w:w="676" w:type="dxa"/>
            <w:vMerge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628" w:type="dxa"/>
            <w:vMerge/>
            <w:vAlign w:val="center"/>
          </w:tcPr>
          <w:p w:rsidR="00B14595" w:rsidRPr="004E1022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4595" w:rsidRPr="004E1022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E1022">
              <w:rPr>
                <w:rFonts w:eastAsiaTheme="minorEastAsia" w:hint="eastAsia"/>
                <w:bCs/>
                <w:sz w:val="18"/>
                <w:szCs w:val="18"/>
              </w:rPr>
              <w:t>50</w:t>
            </w:r>
            <w:r w:rsidRPr="004E1022">
              <w:rPr>
                <w:rFonts w:eastAsiaTheme="minorEastAsia"/>
                <w:bCs/>
                <w:sz w:val="18"/>
                <w:szCs w:val="18"/>
              </w:rPr>
              <w:t>%</w:t>
            </w:r>
            <w:r w:rsidRPr="004E1022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≤</w:t>
            </w:r>
            <w:r w:rsidRPr="004E1022">
              <w:rPr>
                <w:rFonts w:hint="eastAsia"/>
                <w:bCs/>
                <w:i/>
                <w:sz w:val="18"/>
                <w:szCs w:val="18"/>
              </w:rPr>
              <w:t>R</w:t>
            </w:r>
            <w:r w:rsidRPr="004E1022">
              <w:rPr>
                <w:rFonts w:hint="eastAsia"/>
                <w:bCs/>
                <w:i/>
                <w:sz w:val="18"/>
                <w:szCs w:val="18"/>
                <w:vertAlign w:val="subscript"/>
              </w:rPr>
              <w:t>rp</w:t>
            </w:r>
            <w:r w:rsidRPr="004E1022">
              <w:rPr>
                <w:rFonts w:hint="eastAsia"/>
                <w:bCs/>
                <w:sz w:val="18"/>
                <w:szCs w:val="18"/>
              </w:rPr>
              <w:t>＜</w:t>
            </w:r>
            <w:r w:rsidRPr="004E1022">
              <w:rPr>
                <w:rFonts w:eastAsiaTheme="minorEastAsia" w:hint="eastAsia"/>
                <w:bCs/>
                <w:sz w:val="18"/>
                <w:szCs w:val="18"/>
              </w:rPr>
              <w:t>80</w:t>
            </w:r>
            <w:r w:rsidRPr="004E1022">
              <w:rPr>
                <w:rFonts w:eastAsiaTheme="minorEastAsia"/>
                <w:bCs/>
                <w:sz w:val="18"/>
                <w:szCs w:val="18"/>
              </w:rPr>
              <w:t>%</w:t>
            </w:r>
          </w:p>
        </w:tc>
        <w:tc>
          <w:tcPr>
            <w:tcW w:w="151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88" w:type="dxa"/>
            <w:vMerge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B14595" w:rsidRPr="00621CB0" w:rsidTr="001B1638">
        <w:trPr>
          <w:trHeight w:val="340"/>
          <w:jc w:val="center"/>
        </w:trPr>
        <w:tc>
          <w:tcPr>
            <w:tcW w:w="676" w:type="dxa"/>
            <w:vMerge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628" w:type="dxa"/>
            <w:vMerge/>
            <w:vAlign w:val="center"/>
          </w:tcPr>
          <w:p w:rsidR="00B14595" w:rsidRPr="00621CB0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4595" w:rsidRPr="00621CB0" w:rsidRDefault="00B14595" w:rsidP="001B1638">
            <w:pPr>
              <w:pStyle w:val="a6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621CB0">
              <w:rPr>
                <w:rFonts w:hint="eastAsia"/>
                <w:bCs/>
                <w:i/>
                <w:sz w:val="18"/>
                <w:szCs w:val="18"/>
              </w:rPr>
              <w:t>R</w:t>
            </w:r>
            <w:r w:rsidRPr="004E1022">
              <w:rPr>
                <w:rFonts w:hint="eastAsia"/>
                <w:bCs/>
                <w:i/>
                <w:sz w:val="18"/>
                <w:szCs w:val="18"/>
                <w:vertAlign w:val="subscript"/>
              </w:rPr>
              <w:t>rp</w:t>
            </w:r>
            <w:r w:rsidRPr="00621CB0">
              <w:rPr>
                <w:rFonts w:hint="eastAsia"/>
                <w:bCs/>
                <w:sz w:val="18"/>
                <w:szCs w:val="18"/>
              </w:rPr>
              <w:t>≥</w:t>
            </w:r>
            <w:r w:rsidRPr="00621CB0">
              <w:rPr>
                <w:rFonts w:eastAsiaTheme="minorEastAsia" w:hint="eastAsia"/>
                <w:bCs/>
                <w:sz w:val="18"/>
                <w:szCs w:val="18"/>
              </w:rPr>
              <w:t>80</w:t>
            </w:r>
            <w:r w:rsidRPr="00621CB0">
              <w:rPr>
                <w:rFonts w:eastAsiaTheme="minorEastAsia"/>
                <w:bCs/>
                <w:sz w:val="18"/>
                <w:szCs w:val="18"/>
              </w:rPr>
              <w:t>%</w:t>
            </w:r>
          </w:p>
        </w:tc>
        <w:tc>
          <w:tcPr>
            <w:tcW w:w="151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  <w:vMerge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B14595" w:rsidRPr="00621CB0" w:rsidTr="001B1638">
        <w:trPr>
          <w:trHeight w:val="340"/>
          <w:jc w:val="center"/>
        </w:trPr>
        <w:tc>
          <w:tcPr>
            <w:tcW w:w="5005" w:type="dxa"/>
            <w:gridSpan w:val="3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16" w:type="dxa"/>
            <w:vAlign w:val="center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88" w:type="dxa"/>
          </w:tcPr>
          <w:p w:rsidR="00B14595" w:rsidRPr="00621CB0" w:rsidRDefault="00B14595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B14595" w:rsidRPr="00DA4560" w:rsidRDefault="00B14595" w:rsidP="00B1459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B14595" w:rsidRPr="002F7136" w:rsidRDefault="00B14595" w:rsidP="00B14595">
      <w:pPr>
        <w:spacing w:line="288" w:lineRule="auto"/>
        <w:rPr>
          <w:u w:val="single"/>
        </w:rPr>
      </w:pPr>
      <w:r>
        <w:rPr>
          <w:rFonts w:hint="eastAsia"/>
        </w:rPr>
        <w:t>项目建筑类型：</w:t>
      </w:r>
      <w:r w:rsidRPr="006F294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办公建筑</w:t>
      </w:r>
      <w:r w:rsidRPr="009E7499">
        <w:rPr>
          <w:rFonts w:cs="宋体" w:hint="eastAsia"/>
          <w:lang w:val="zh-CN"/>
        </w:rPr>
        <w:t>、</w:t>
      </w:r>
      <w:r w:rsidRPr="006F294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商业建筑、</w:t>
      </w:r>
      <w:r w:rsidRPr="006F2948">
        <w:rPr>
          <w:rFonts w:cs="宋体" w:hint="eastAsia"/>
          <w:lang w:val="zh-CN"/>
        </w:rPr>
        <w:t>□</w:t>
      </w:r>
      <w:r>
        <w:rPr>
          <w:rFonts w:cs="宋体" w:hint="eastAsia"/>
          <w:lang w:val="zh-CN"/>
        </w:rPr>
        <w:t>其他建筑、</w:t>
      </w:r>
      <w:r>
        <w:rPr>
          <w:rFonts w:cs="宋体" w:hint="eastAsia"/>
          <w:u w:val="single"/>
          <w:lang w:val="zh-CN"/>
        </w:rPr>
        <w:t xml:space="preserve">          </w:t>
      </w:r>
    </w:p>
    <w:p w:rsidR="00B14595" w:rsidRPr="0004127E" w:rsidRDefault="00B14595" w:rsidP="00B14595">
      <w:pPr>
        <w:spacing w:line="288" w:lineRule="auto"/>
      </w:pPr>
      <w:r>
        <w:rPr>
          <w:rFonts w:cs="宋体" w:hint="eastAsia"/>
        </w:rPr>
        <w:t>项目</w:t>
      </w:r>
      <w:r w:rsidRPr="009E7499">
        <w:rPr>
          <w:rFonts w:cs="宋体" w:hint="eastAsia"/>
          <w:lang w:val="zh-CN"/>
        </w:rPr>
        <w:t>存在可变换功能的室内空间：</w:t>
      </w:r>
      <w:r w:rsidRPr="006F294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是、</w:t>
      </w:r>
      <w:r w:rsidRPr="006F2948">
        <w:rPr>
          <w:rFonts w:cs="宋体" w:hint="eastAsia"/>
          <w:lang w:val="zh-CN"/>
        </w:rPr>
        <w:t>□</w:t>
      </w:r>
      <w:r w:rsidRPr="009E7499">
        <w:rPr>
          <w:rFonts w:cs="宋体" w:hint="eastAsia"/>
          <w:lang w:val="zh-CN"/>
        </w:rPr>
        <w:t>否</w:t>
      </w:r>
      <w:r w:rsidRPr="009E7499">
        <w:rPr>
          <w:rFonts w:cs="宋体" w:hint="eastAsia"/>
        </w:rPr>
        <w:t>（走廊、楼梯、电梯井、卫生间、设备机房、公共管井</w:t>
      </w:r>
      <w:r>
        <w:rPr>
          <w:rFonts w:cs="宋体" w:hint="eastAsia"/>
        </w:rPr>
        <w:t>以外的地上室内空间均应视为“</w:t>
      </w:r>
      <w:r w:rsidRPr="009E7499">
        <w:rPr>
          <w:rFonts w:cs="宋体" w:hint="eastAsia"/>
        </w:rPr>
        <w:t>可变换功能的室内空间</w:t>
      </w:r>
      <w:r>
        <w:rPr>
          <w:rFonts w:cs="宋体" w:hint="eastAsia"/>
        </w:rPr>
        <w:t>”，有特殊隔声、防护及特殊工艺需求的空间不计入。作为商业、办公用途的地下空间也应视为“</w:t>
      </w:r>
      <w:r w:rsidRPr="009E7499">
        <w:rPr>
          <w:rFonts w:cs="宋体" w:hint="eastAsia"/>
        </w:rPr>
        <w:t>可变换功能的室内空间</w:t>
      </w:r>
      <w:r>
        <w:rPr>
          <w:rFonts w:cs="宋体" w:hint="eastAsia"/>
        </w:rPr>
        <w:t>”，其他用途的地下空间不计入。</w:t>
      </w:r>
      <w:r w:rsidRPr="009E7499">
        <w:rPr>
          <w:rFonts w:cs="宋体" w:hint="eastAsia"/>
        </w:rPr>
        <w:t>）</w:t>
      </w:r>
    </w:p>
    <w:p w:rsidR="00B14595" w:rsidRDefault="00B14595" w:rsidP="00B14595">
      <w:pPr>
        <w:spacing w:line="288" w:lineRule="auto"/>
        <w:rPr>
          <w:rFonts w:cs="宋体"/>
        </w:rPr>
      </w:pPr>
    </w:p>
    <w:p w:rsidR="00B14595" w:rsidRDefault="00B14595" w:rsidP="00B14595">
      <w:pPr>
        <w:spacing w:line="288" w:lineRule="auto"/>
        <w:rPr>
          <w:rFonts w:cs="宋体"/>
        </w:rPr>
      </w:pPr>
      <w:r w:rsidRPr="009E7499">
        <w:rPr>
          <w:rFonts w:cs="宋体" w:hint="eastAsia"/>
          <w:lang w:val="zh-CN"/>
        </w:rPr>
        <w:t>可</w:t>
      </w:r>
      <w:r>
        <w:rPr>
          <w:rFonts w:cs="宋体" w:hint="eastAsia"/>
          <w:lang w:val="zh-CN"/>
        </w:rPr>
        <w:t>重复使用隔断（墙）比例</w:t>
      </w:r>
      <w:r w:rsidRPr="009E7499">
        <w:rPr>
          <w:rFonts w:cs="宋体" w:hint="eastAsia"/>
          <w:lang w:val="zh-CN"/>
        </w:rPr>
        <w:t>：</w:t>
      </w:r>
      <w:r>
        <w:rPr>
          <w:rFonts w:hint="eastAsia"/>
          <w:u w:val="single"/>
          <w:lang w:val="zh-CN"/>
        </w:rPr>
        <w:t xml:space="preserve">     </w:t>
      </w:r>
      <w:r w:rsidRPr="007F6543">
        <w:rPr>
          <w:rFonts w:hint="eastAsia"/>
          <w:lang w:val="zh-CN"/>
        </w:rPr>
        <w:t>（</w:t>
      </w:r>
      <w:r w:rsidRPr="007F6543">
        <w:rPr>
          <w:lang w:val="zh-CN"/>
        </w:rPr>
        <w:t>%</w:t>
      </w:r>
      <w:r w:rsidRPr="007F6543">
        <w:rPr>
          <w:rFonts w:hint="eastAsia"/>
          <w:lang w:val="zh-CN"/>
        </w:rPr>
        <w:t>）</w:t>
      </w:r>
      <w:r w:rsidRPr="009E7499">
        <w:rPr>
          <w:rFonts w:cs="宋体" w:hint="eastAsia"/>
          <w:lang w:val="zh-CN"/>
        </w:rPr>
        <w:t>（</w:t>
      </w:r>
      <w:r>
        <w:rPr>
          <w:rFonts w:cs="宋体" w:hint="eastAsia"/>
          <w:lang w:val="zh-CN"/>
        </w:rPr>
        <w:t>可重复使用隔断（墙）比例为实际采用的可重复使用隔断（墙）围合的建筑面积与建筑中可变换功能的室内空间面积的比例</w:t>
      </w:r>
      <w:r w:rsidRPr="009E7499">
        <w:rPr>
          <w:rFonts w:cs="宋体" w:hint="eastAsia"/>
        </w:rPr>
        <w:t>。）</w:t>
      </w:r>
    </w:p>
    <w:p w:rsidR="00B14595" w:rsidRPr="00DA4560" w:rsidRDefault="00B14595" w:rsidP="00B14595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4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B14595" w:rsidRPr="004E6AFF" w:rsidRDefault="00B14595" w:rsidP="00B14595">
      <w:pPr>
        <w:spacing w:line="288" w:lineRule="auto"/>
        <w:rPr>
          <w:rFonts w:cs="宋体"/>
          <w:b/>
          <w:bCs/>
          <w:lang w:val="zh-CN"/>
        </w:rPr>
      </w:pPr>
      <w:r w:rsidRPr="004E6AFF">
        <w:rPr>
          <w:rFonts w:cs="宋体" w:hint="eastAsia"/>
          <w:b/>
          <w:bCs/>
          <w:lang w:val="zh-CN"/>
        </w:rPr>
        <w:t>提交材料及要求：</w:t>
      </w:r>
    </w:p>
    <w:p w:rsidR="00B14595" w:rsidRPr="00901C2C" w:rsidRDefault="00B14595" w:rsidP="00B14595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565E53">
        <w:rPr>
          <w:rFonts w:cs="宋体" w:hint="eastAsia"/>
        </w:rPr>
        <w:t>建筑各层平面图</w:t>
      </w:r>
      <w:r>
        <w:rPr>
          <w:rFonts w:cs="宋体" w:hint="eastAsia"/>
        </w:rPr>
        <w:t>或装修各层平面图</w:t>
      </w:r>
      <w:r w:rsidRPr="00565E53">
        <w:rPr>
          <w:rFonts w:cs="宋体" w:hint="eastAsia"/>
        </w:rPr>
        <w:t>：应体现可变换功能的室内空间、可重复使用隔断</w:t>
      </w:r>
      <w:r w:rsidRPr="000B5961">
        <w:rPr>
          <w:rFonts w:cs="宋体" w:hint="eastAsia"/>
        </w:rPr>
        <w:t>（墙</w:t>
      </w:r>
      <w:r w:rsidRPr="009C595A">
        <w:rPr>
          <w:rFonts w:cs="宋体" w:hint="eastAsia"/>
        </w:rPr>
        <w:t>）围合的建筑面积</w:t>
      </w:r>
      <w:r w:rsidRPr="009C1D2B">
        <w:rPr>
          <w:rFonts w:cs="宋体" w:hint="eastAsia"/>
        </w:rPr>
        <w:t>；</w:t>
      </w:r>
    </w:p>
    <w:p w:rsidR="00B14595" w:rsidRPr="00565E53" w:rsidRDefault="00B14595" w:rsidP="00B14595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可重复使用隔断（墙）节点图：应详细标明可拆卸节点</w:t>
      </w:r>
    </w:p>
    <w:p w:rsidR="00B14595" w:rsidRPr="00B5267C" w:rsidRDefault="00B14595" w:rsidP="00B14595">
      <w:pPr>
        <w:pStyle w:val="a5"/>
        <w:numPr>
          <w:ilvl w:val="0"/>
          <w:numId w:val="1"/>
        </w:numPr>
        <w:spacing w:line="288" w:lineRule="auto"/>
        <w:ind w:firstLineChars="0"/>
      </w:pPr>
      <w:r w:rsidRPr="00621CB0">
        <w:rPr>
          <w:rFonts w:cs="宋体" w:hint="eastAsia"/>
          <w:lang w:val="zh-CN"/>
        </w:rPr>
        <w:t>可重复使用隔断（墙）比例</w:t>
      </w:r>
      <w:r w:rsidRPr="00621CB0">
        <w:rPr>
          <w:rFonts w:cs="宋体" w:hint="eastAsia"/>
        </w:rPr>
        <w:t>计算书：应明确各层的可变换功能空间及面积、可重复使用隔断（墙）围合的建筑面积，并在各层平面图中进行标注，汇总计算项目总的</w:t>
      </w:r>
      <w:r w:rsidRPr="00621CB0">
        <w:rPr>
          <w:rFonts w:cs="宋体" w:hint="eastAsia"/>
          <w:lang w:val="zh-CN"/>
        </w:rPr>
        <w:t>可重复使用隔断（墙）比例</w:t>
      </w:r>
      <w:r w:rsidRPr="00621CB0">
        <w:rPr>
          <w:rFonts w:cs="宋体" w:hint="eastAsia"/>
        </w:rPr>
        <w:t>。</w:t>
      </w:r>
    </w:p>
    <w:p w:rsidR="00B14595" w:rsidRPr="00621CB0" w:rsidRDefault="00B14595" w:rsidP="00B14595">
      <w:pPr>
        <w:tabs>
          <w:tab w:val="num" w:pos="420"/>
        </w:tabs>
        <w:spacing w:line="288" w:lineRule="auto"/>
      </w:pPr>
    </w:p>
    <w:p w:rsidR="00B14595" w:rsidRPr="00621CB0" w:rsidRDefault="00B14595" w:rsidP="00B14595">
      <w:pPr>
        <w:spacing w:line="288" w:lineRule="auto"/>
        <w:rPr>
          <w:b/>
        </w:rPr>
      </w:pPr>
      <w:r w:rsidRPr="00621CB0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B14595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95" w:rsidRPr="00D30A69" w:rsidRDefault="00B14595" w:rsidP="001B1638">
            <w:pPr>
              <w:spacing w:line="288" w:lineRule="auto"/>
              <w:rPr>
                <w:b/>
              </w:rPr>
            </w:pPr>
          </w:p>
        </w:tc>
      </w:tr>
    </w:tbl>
    <w:p w:rsidR="00B14595" w:rsidRDefault="00B14595" w:rsidP="00B14595"/>
    <w:p w:rsidR="00B14595" w:rsidRDefault="00B14595" w:rsidP="00B14595">
      <w:pPr>
        <w:spacing w:line="288" w:lineRule="auto"/>
        <w:rPr>
          <w:b/>
          <w:bCs/>
          <w:color w:val="FF0000"/>
          <w:sz w:val="24"/>
          <w:szCs w:val="24"/>
        </w:rPr>
      </w:pPr>
    </w:p>
    <w:p w:rsidR="00B14595" w:rsidRDefault="00B14595" w:rsidP="00B14595">
      <w:pPr>
        <w:pStyle w:val="3"/>
        <w:sectPr w:rsidR="00B145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2C29ED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9ED" w:rsidRDefault="002C29ED" w:rsidP="00B14595">
      <w:r>
        <w:separator/>
      </w:r>
    </w:p>
  </w:endnote>
  <w:endnote w:type="continuationSeparator" w:id="0">
    <w:p w:rsidR="002C29ED" w:rsidRDefault="002C29ED" w:rsidP="00B1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9ED" w:rsidRDefault="002C29ED" w:rsidP="00B14595">
      <w:r>
        <w:separator/>
      </w:r>
    </w:p>
  </w:footnote>
  <w:footnote w:type="continuationSeparator" w:id="0">
    <w:p w:rsidR="002C29ED" w:rsidRDefault="002C29ED" w:rsidP="00B1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7126"/>
    <w:multiLevelType w:val="hybridMultilevel"/>
    <w:tmpl w:val="FF6ED65C"/>
    <w:lvl w:ilvl="0" w:tplc="E6249C9E">
      <w:start w:val="1"/>
      <w:numFmt w:val="decimal"/>
      <w:lvlText w:val="%1、"/>
      <w:lvlJc w:val="left"/>
      <w:pPr>
        <w:ind w:left="420" w:hanging="42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24"/>
    <w:rsid w:val="002B4724"/>
    <w:rsid w:val="002C29ED"/>
    <w:rsid w:val="0036396F"/>
    <w:rsid w:val="00B1459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85EE52-2471-45B8-8525-58954D4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unhideWhenUsed/>
    <w:qFormat/>
    <w:rsid w:val="00B14595"/>
    <w:pPr>
      <w:keepNext/>
      <w:keepLines/>
      <w:spacing w:before="240" w:after="240"/>
      <w:jc w:val="center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nhideWhenUsed/>
    <w:qFormat/>
    <w:rsid w:val="00B1459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595"/>
    <w:rPr>
      <w:sz w:val="18"/>
      <w:szCs w:val="18"/>
    </w:rPr>
  </w:style>
  <w:style w:type="character" w:customStyle="1" w:styleId="3Char">
    <w:name w:val="标题 3 Char"/>
    <w:basedOn w:val="a0"/>
    <w:link w:val="3"/>
    <w:rsid w:val="00B14595"/>
    <w:rPr>
      <w:rFonts w:ascii="Times New Roman" w:eastAsia="黑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rsid w:val="00B14595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B14595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B14595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B1459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2017-11-13T07:41:00Z</dcterms:created>
  <dcterms:modified xsi:type="dcterms:W3CDTF">2017-11-13T07:42:00Z</dcterms:modified>
</cp:coreProperties>
</file>