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96" w:rsidRPr="00236396" w:rsidRDefault="00236396" w:rsidP="00236396">
      <w:pPr>
        <w:pStyle w:val="4"/>
        <w:rPr>
          <w:rFonts w:hint="eastAsia"/>
        </w:rPr>
      </w:pPr>
      <w:r>
        <w:t>4.</w:t>
      </w:r>
      <w:r>
        <w:rPr>
          <w:rFonts w:hint="eastAsia"/>
        </w:rPr>
        <w:t>2.2</w:t>
      </w:r>
      <w:r>
        <w:rPr>
          <w:rFonts w:ascii="Times New Roman" w:hAnsi="Times New Roman"/>
          <w:spacing w:val="1"/>
          <w:kern w:val="0"/>
          <w:szCs w:val="24"/>
        </w:rPr>
        <w:t>场地内合理设置绿化用地。（总分</w:t>
      </w:r>
      <w:r>
        <w:rPr>
          <w:rFonts w:ascii="Times New Roman" w:hAnsi="Times New Roman"/>
          <w:spacing w:val="1"/>
          <w:kern w:val="0"/>
          <w:szCs w:val="24"/>
        </w:rPr>
        <w:t>9</w:t>
      </w:r>
      <w:r>
        <w:rPr>
          <w:rFonts w:ascii="Times New Roman" w:hAnsi="Times New Roman"/>
          <w:spacing w:val="1"/>
          <w:kern w:val="0"/>
          <w:szCs w:val="24"/>
        </w:rPr>
        <w:t>分）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bCs/>
          <w:spacing w:val="1"/>
          <w:kern w:val="0"/>
        </w:rPr>
        <w:t>1</w:t>
      </w:r>
      <w:r>
        <w:rPr>
          <w:bCs/>
          <w:kern w:val="0"/>
        </w:rPr>
        <w:t>）</w:t>
      </w:r>
      <w:r>
        <w:rPr>
          <w:spacing w:val="1"/>
          <w:kern w:val="0"/>
        </w:rPr>
        <w:t>得分自评</w:t>
      </w: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0.05pt;height:10.05pt" o:ole="">
            <v:imagedata r:id="rId7" o:title=""/>
          </v:shape>
          <w:control r:id="rId8" w:name="CheckBox2611" w:shapeid="_x0000_i1037"/>
        </w:object>
      </w:r>
      <w:r>
        <w:rPr>
          <w:kern w:val="0"/>
        </w:rPr>
        <w:t xml:space="preserve"> </w:t>
      </w:r>
      <w:r>
        <w:rPr>
          <w:kern w:val="0"/>
        </w:rPr>
        <w:t>居住建筑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2410"/>
        <w:gridCol w:w="1134"/>
        <w:gridCol w:w="1468"/>
      </w:tblGrid>
      <w:tr w:rsidR="00236396" w:rsidTr="00512DBB">
        <w:tc>
          <w:tcPr>
            <w:tcW w:w="5920" w:type="dxa"/>
            <w:gridSpan w:val="3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评价内容</w:t>
            </w:r>
          </w:p>
        </w:tc>
        <w:tc>
          <w:tcPr>
            <w:tcW w:w="1134" w:type="dxa"/>
            <w:vMerge w:val="restart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评价分值</w:t>
            </w:r>
          </w:p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（分）</w:t>
            </w:r>
          </w:p>
        </w:tc>
        <w:tc>
          <w:tcPr>
            <w:tcW w:w="1468" w:type="dxa"/>
            <w:vMerge w:val="restart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自评得分</w:t>
            </w:r>
          </w:p>
          <w:p w:rsidR="00236396" w:rsidRDefault="00236396" w:rsidP="00512DB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（分）</w:t>
            </w:r>
          </w:p>
        </w:tc>
      </w:tr>
      <w:tr w:rsidR="00236396" w:rsidTr="00512DBB">
        <w:tc>
          <w:tcPr>
            <w:tcW w:w="1526" w:type="dxa"/>
            <w:vMerge w:val="restart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住区人均公共绿地面积</w:t>
            </w:r>
            <w:r>
              <w:rPr>
                <w:i/>
                <w:iCs/>
                <w:kern w:val="0"/>
              </w:rPr>
              <w:t>Ag</w:t>
            </w:r>
          </w:p>
        </w:tc>
        <w:tc>
          <w:tcPr>
            <w:tcW w:w="198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新区建设</w:t>
            </w:r>
          </w:p>
        </w:tc>
        <w:tc>
          <w:tcPr>
            <w:tcW w:w="241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旧区改建</w:t>
            </w:r>
          </w:p>
        </w:tc>
        <w:tc>
          <w:tcPr>
            <w:tcW w:w="1134" w:type="dxa"/>
            <w:vMerge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468" w:type="dxa"/>
            <w:vMerge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</w:tr>
      <w:tr w:rsidR="00236396" w:rsidTr="00512DBB">
        <w:tc>
          <w:tcPr>
            <w:tcW w:w="1526" w:type="dxa"/>
            <w:vMerge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1.0m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  <w:r>
              <w:rPr>
                <w:kern w:val="0"/>
              </w:rPr>
              <w:t>≤</w:t>
            </w:r>
            <w:r>
              <w:rPr>
                <w:i/>
                <w:iCs/>
                <w:kern w:val="0"/>
              </w:rPr>
              <w:t>Ag</w:t>
            </w:r>
            <w:r>
              <w:rPr>
                <w:kern w:val="0"/>
              </w:rPr>
              <w:t>＜</w:t>
            </w:r>
            <w:smartTag w:uri="urn:schemas-microsoft-com:office:smarttags" w:element="chmetcnv">
              <w:smartTagPr>
                <w:attr w:name="UnitName" w:val="m2"/>
                <w:attr w:name="SourceValue" w:val="1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1.3m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</w:p>
        </w:tc>
        <w:tc>
          <w:tcPr>
            <w:tcW w:w="241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.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0.7m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  <w:r>
              <w:rPr>
                <w:kern w:val="0"/>
              </w:rPr>
              <w:t>≤</w:t>
            </w:r>
            <w:r>
              <w:rPr>
                <w:i/>
                <w:iCs/>
                <w:kern w:val="0"/>
              </w:rPr>
              <w:t>Ag</w:t>
            </w:r>
            <w:r>
              <w:rPr>
                <w:kern w:val="0"/>
              </w:rPr>
              <w:t>＜</w:t>
            </w:r>
            <w:smartTag w:uri="urn:schemas-microsoft-com:office:smarttags" w:element="chmetcnv">
              <w:smartTagPr>
                <w:attr w:name="UnitName" w:val="m2"/>
                <w:attr w:name="SourceValue" w:val=".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0.9m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</w:p>
        </w:tc>
        <w:tc>
          <w:tcPr>
            <w:tcW w:w="113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468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</w:tr>
      <w:tr w:rsidR="00236396" w:rsidTr="00512DBB">
        <w:tc>
          <w:tcPr>
            <w:tcW w:w="1526" w:type="dxa"/>
            <w:vMerge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1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1.3m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  <w:r>
              <w:rPr>
                <w:kern w:val="0"/>
              </w:rPr>
              <w:t>≤</w:t>
            </w:r>
            <w:r>
              <w:rPr>
                <w:i/>
                <w:iCs/>
                <w:kern w:val="0"/>
              </w:rPr>
              <w:t>Ag</w:t>
            </w:r>
            <w:r>
              <w:rPr>
                <w:kern w:val="0"/>
              </w:rPr>
              <w:t>＜</w:t>
            </w:r>
            <w:smartTag w:uri="urn:schemas-microsoft-com:office:smarttags" w:element="chmetcnv">
              <w:smartTagPr>
                <w:attr w:name="UnitName" w:val="m2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1.5m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</w:p>
        </w:tc>
        <w:tc>
          <w:tcPr>
            <w:tcW w:w="241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smartTag w:uri="urn:schemas-microsoft-com:office:smarttags" w:element="chmetcnv">
              <w:smartTagPr>
                <w:attr w:name="UnitName" w:val="m2"/>
                <w:attr w:name="SourceValue" w:val=".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0.9m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  <w:r>
              <w:rPr>
                <w:kern w:val="0"/>
              </w:rPr>
              <w:t>≤</w:t>
            </w:r>
            <w:r>
              <w:rPr>
                <w:i/>
                <w:iCs/>
                <w:kern w:val="0"/>
              </w:rPr>
              <w:t>Ag</w:t>
            </w:r>
            <w:r>
              <w:rPr>
                <w:kern w:val="0"/>
              </w:rPr>
              <w:t>＜</w:t>
            </w:r>
            <w:smartTag w:uri="urn:schemas-microsoft-com:office:smarttags" w:element="chmetcnv">
              <w:smartTagPr>
                <w:attr w:name="UnitName" w:val="m2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1.0m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</w:p>
        </w:tc>
        <w:tc>
          <w:tcPr>
            <w:tcW w:w="113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1468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</w:tr>
      <w:tr w:rsidR="00236396" w:rsidTr="00512DBB">
        <w:tc>
          <w:tcPr>
            <w:tcW w:w="1526" w:type="dxa"/>
            <w:vMerge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i/>
                <w:iCs/>
                <w:kern w:val="0"/>
              </w:rPr>
              <w:t>Ag</w:t>
            </w:r>
            <w:r>
              <w:rPr>
                <w:kern w:val="0"/>
              </w:rPr>
              <w:t>≥</w:t>
            </w:r>
            <w:smartTag w:uri="urn:schemas-microsoft-com:office:smarttags" w:element="chmetcnv">
              <w:smartTagPr>
                <w:attr w:name="UnitName" w:val="m2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1.5m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</w:p>
        </w:tc>
        <w:tc>
          <w:tcPr>
            <w:tcW w:w="241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i/>
                <w:iCs/>
                <w:kern w:val="0"/>
              </w:rPr>
              <w:t>Ag</w:t>
            </w:r>
            <w:r>
              <w:rPr>
                <w:kern w:val="0"/>
              </w:rPr>
              <w:t>≥</w:t>
            </w:r>
            <w:smartTag w:uri="urn:schemas-microsoft-com:office:smarttags" w:element="chmetcnv">
              <w:smartTagPr>
                <w:attr w:name="UnitName" w:val="m2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</w:rPr>
                <w:t>1.0m</w:t>
              </w:r>
              <w:r>
                <w:rPr>
                  <w:kern w:val="0"/>
                  <w:sz w:val="22"/>
                  <w:szCs w:val="14"/>
                  <w:vertAlign w:val="superscript"/>
                </w:rPr>
                <w:t>2</w:t>
              </w:r>
            </w:smartTag>
          </w:p>
        </w:tc>
        <w:tc>
          <w:tcPr>
            <w:tcW w:w="113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1468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</w:tr>
      <w:tr w:rsidR="00236396" w:rsidTr="00512DBB">
        <w:tc>
          <w:tcPr>
            <w:tcW w:w="1526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住区绿地率</w:t>
            </w:r>
          </w:p>
        </w:tc>
        <w:tc>
          <w:tcPr>
            <w:tcW w:w="198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≥30%</w:t>
            </w:r>
          </w:p>
        </w:tc>
        <w:tc>
          <w:tcPr>
            <w:tcW w:w="241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≥25%</w:t>
            </w:r>
          </w:p>
        </w:tc>
        <w:tc>
          <w:tcPr>
            <w:tcW w:w="113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468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</w:tr>
      <w:tr w:rsidR="00236396" w:rsidTr="00512DBB">
        <w:tc>
          <w:tcPr>
            <w:tcW w:w="1526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41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合计</w:t>
            </w:r>
          </w:p>
        </w:tc>
        <w:tc>
          <w:tcPr>
            <w:tcW w:w="1134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468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</w:rPr>
            </w:pPr>
          </w:p>
        </w:tc>
      </w:tr>
    </w:tbl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 id="_x0000_i1039" type="#_x0000_t75" style="width:10.05pt;height:10.05pt" o:ole="">
            <v:imagedata r:id="rId7" o:title=""/>
          </v:shape>
          <w:control r:id="rId9" w:name="CheckBox2612" w:shapeid="_x0000_i1039"/>
        </w:object>
      </w:r>
      <w:r>
        <w:rPr>
          <w:kern w:val="0"/>
        </w:rPr>
        <w:t>公共建筑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236396" w:rsidTr="00512DBB">
        <w:tc>
          <w:tcPr>
            <w:tcW w:w="4260" w:type="dxa"/>
            <w:gridSpan w:val="2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评价内容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评价分值</w:t>
            </w:r>
          </w:p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（分）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自评得分</w:t>
            </w:r>
          </w:p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（分）</w:t>
            </w:r>
          </w:p>
        </w:tc>
      </w:tr>
      <w:tr w:rsidR="00236396" w:rsidTr="00512DBB">
        <w:tc>
          <w:tcPr>
            <w:tcW w:w="2130" w:type="dxa"/>
            <w:vMerge w:val="restart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绿地率</w:t>
            </w:r>
            <w:r>
              <w:rPr>
                <w:kern w:val="0"/>
              </w:rPr>
              <w:t xml:space="preserve"> </w:t>
            </w:r>
            <w:r>
              <w:rPr>
                <w:i/>
                <w:iCs/>
                <w:kern w:val="0"/>
              </w:rPr>
              <w:t>Rg</w:t>
            </w:r>
          </w:p>
        </w:tc>
        <w:tc>
          <w:tcPr>
            <w:tcW w:w="213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30%≤</w:t>
            </w:r>
            <w:r>
              <w:rPr>
                <w:i/>
                <w:iCs/>
                <w:kern w:val="0"/>
              </w:rPr>
              <w:t>Rg</w:t>
            </w:r>
            <w:r>
              <w:rPr>
                <w:kern w:val="0"/>
              </w:rPr>
              <w:t>＜</w:t>
            </w:r>
            <w:r>
              <w:rPr>
                <w:kern w:val="0"/>
              </w:rPr>
              <w:t>35%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36396" w:rsidTr="00512DBB">
        <w:tc>
          <w:tcPr>
            <w:tcW w:w="2130" w:type="dxa"/>
            <w:vMerge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35%≤</w:t>
            </w:r>
            <w:r>
              <w:rPr>
                <w:i/>
                <w:iCs/>
                <w:kern w:val="0"/>
              </w:rPr>
              <w:t>Rg</w:t>
            </w:r>
            <w:r>
              <w:rPr>
                <w:kern w:val="0"/>
              </w:rPr>
              <w:t>＜</w:t>
            </w:r>
            <w:r>
              <w:rPr>
                <w:kern w:val="0"/>
              </w:rPr>
              <w:t>40%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36396" w:rsidTr="00512DBB">
        <w:tc>
          <w:tcPr>
            <w:tcW w:w="2130" w:type="dxa"/>
            <w:vMerge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</w:rPr>
              <w:t>Rg</w:t>
            </w:r>
            <w:r>
              <w:rPr>
                <w:kern w:val="0"/>
              </w:rPr>
              <w:t>≥40%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36396" w:rsidTr="00512DBB">
        <w:tc>
          <w:tcPr>
            <w:tcW w:w="4260" w:type="dxa"/>
            <w:gridSpan w:val="2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绿地向社会公众开放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36396" w:rsidTr="00512DBB">
        <w:tc>
          <w:tcPr>
            <w:tcW w:w="213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</w:rPr>
              <w:t>合计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2131" w:type="dxa"/>
            <w:vAlign w:val="center"/>
          </w:tcPr>
          <w:p w:rsidR="00236396" w:rsidRDefault="00236396" w:rsidP="00512D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236396" w:rsidRDefault="00236396" w:rsidP="00236396">
      <w:pPr>
        <w:tabs>
          <w:tab w:val="left" w:pos="4080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spacing w:val="1"/>
          <w:kern w:val="0"/>
        </w:rPr>
      </w:pPr>
      <w:r>
        <w:rPr>
          <w:bCs/>
          <w:spacing w:val="1"/>
          <w:kern w:val="0"/>
        </w:rPr>
        <w:t>2</w:t>
      </w:r>
      <w:r>
        <w:rPr>
          <w:bCs/>
          <w:kern w:val="0"/>
        </w:rPr>
        <w:t>）</w:t>
      </w:r>
      <w:r>
        <w:rPr>
          <w:spacing w:val="1"/>
          <w:kern w:val="0"/>
        </w:rPr>
        <w:t>评价要点</w:t>
      </w:r>
      <w:r>
        <w:rPr>
          <w:spacing w:val="1"/>
          <w:kern w:val="0"/>
        </w:rPr>
        <w:t xml:space="preserve"> </w:t>
      </w:r>
    </w:p>
    <w:p w:rsidR="00236396" w:rsidRDefault="00236396" w:rsidP="00236396">
      <w:pPr>
        <w:spacing w:line="400" w:lineRule="exact"/>
      </w:pPr>
      <w:r>
        <w:rPr>
          <w:rFonts w:hint="eastAsia"/>
        </w:rPr>
        <w:t>建筑用地面积</w:t>
      </w:r>
      <w:r>
        <w:t>_________ m</w:t>
      </w:r>
      <w:r>
        <w:rPr>
          <w:vertAlign w:val="superscript"/>
        </w:rPr>
        <w:t>2</w:t>
      </w:r>
      <w:r>
        <w:t xml:space="preserve">  </w:t>
      </w:r>
      <w:r>
        <w:rPr>
          <w:rFonts w:hint="eastAsia"/>
        </w:rPr>
        <w:t>绿地面积</w:t>
      </w:r>
      <w:r>
        <w:t>_________ m</w:t>
      </w:r>
      <w:r>
        <w:rPr>
          <w:vertAlign w:val="superscript"/>
        </w:rPr>
        <w:t>2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line="400" w:lineRule="exact"/>
        <w:jc w:val="left"/>
        <w:rPr>
          <w:bCs/>
          <w:spacing w:val="1"/>
          <w:kern w:val="0"/>
          <w:position w:val="-1"/>
        </w:rPr>
      </w:pPr>
      <w:r>
        <w:rPr>
          <w:color w:val="000000"/>
        </w:rPr>
        <w:object w:dxaOrig="225" w:dyaOrig="225">
          <v:shape id="_x0000_i1041" type="#_x0000_t75" style="width:10.05pt;height:10.05pt" o:ole="">
            <v:imagedata r:id="rId7" o:title=""/>
          </v:shape>
          <w:control r:id="rId10" w:name="CheckBox2616" w:shapeid="_x0000_i1041"/>
        </w:object>
      </w:r>
      <w:r>
        <w:rPr>
          <w:bCs/>
          <w:spacing w:val="1"/>
          <w:kern w:val="0"/>
          <w:position w:val="-1"/>
        </w:rPr>
        <w:t xml:space="preserve"> </w:t>
      </w:r>
      <w:r>
        <w:rPr>
          <w:bCs/>
          <w:spacing w:val="1"/>
          <w:kern w:val="0"/>
          <w:position w:val="-1"/>
        </w:rPr>
        <w:t>居住建筑</w:t>
      </w:r>
    </w:p>
    <w:p w:rsidR="00236396" w:rsidRDefault="00236396" w:rsidP="00236396">
      <w:pPr>
        <w:spacing w:line="400" w:lineRule="exact"/>
      </w:pPr>
      <w:r>
        <w:rPr>
          <w:rFonts w:hint="eastAsia"/>
        </w:rPr>
        <w:t>居住建筑及配套中仅供居住建筑使用的附属用房面积：</w:t>
      </w:r>
      <w:r>
        <w:rPr>
          <w:u w:val="single"/>
        </w:rPr>
        <w:t xml:space="preserve">            </w:t>
      </w:r>
      <w:r>
        <w:t>m</w:t>
      </w:r>
      <w:r>
        <w:rPr>
          <w:vertAlign w:val="superscript"/>
        </w:rPr>
        <w:t>2</w:t>
      </w:r>
    </w:p>
    <w:p w:rsidR="00236396" w:rsidRDefault="00236396" w:rsidP="00236396">
      <w:pPr>
        <w:spacing w:line="400" w:lineRule="exact"/>
      </w:pPr>
      <w:r>
        <w:rPr>
          <w:rFonts w:hint="eastAsia"/>
        </w:rPr>
        <w:t>居住建筑面积比率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，居住建筑用地面积：</w:t>
      </w:r>
      <w:r>
        <w:rPr>
          <w:u w:val="single"/>
        </w:rPr>
        <w:t xml:space="preserve">            </w:t>
      </w:r>
      <w:r>
        <w:t>m</w:t>
      </w:r>
      <w:r>
        <w:rPr>
          <w:vertAlign w:val="superscript"/>
        </w:rPr>
        <w:t>2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line="400" w:lineRule="exact"/>
        <w:jc w:val="left"/>
        <w:rPr>
          <w:bCs/>
          <w:spacing w:val="1"/>
          <w:kern w:val="0"/>
          <w:position w:val="-1"/>
        </w:rPr>
      </w:pPr>
      <w:r>
        <w:rPr>
          <w:rFonts w:hint="eastAsia"/>
          <w:bCs/>
          <w:spacing w:val="1"/>
          <w:kern w:val="0"/>
          <w:position w:val="-1"/>
        </w:rPr>
        <w:t>居住建筑绿地面积</w:t>
      </w:r>
      <w:r>
        <w:rPr>
          <w:rFonts w:hint="eastAsia"/>
        </w:rPr>
        <w:t>：</w:t>
      </w:r>
      <w:r>
        <w:rPr>
          <w:u w:val="single"/>
        </w:rPr>
        <w:t xml:space="preserve">            </w:t>
      </w:r>
      <w:r>
        <w:t>m</w:t>
      </w:r>
      <w:r>
        <w:rPr>
          <w:vertAlign w:val="superscript"/>
        </w:rPr>
        <w:t>2</w:t>
      </w:r>
      <w:r>
        <w:rPr>
          <w:rFonts w:hint="eastAsia"/>
          <w:bCs/>
          <w:spacing w:val="1"/>
          <w:kern w:val="0"/>
          <w:position w:val="-1"/>
        </w:rPr>
        <w:t xml:space="preserve">  </w:t>
      </w:r>
      <w:r>
        <w:rPr>
          <w:rFonts w:hint="eastAsia"/>
          <w:bCs/>
          <w:spacing w:val="1"/>
          <w:kern w:val="0"/>
          <w:position w:val="-1"/>
        </w:rPr>
        <w:t>居住建筑绿地率</w:t>
      </w:r>
      <w:r>
        <w:rPr>
          <w:bCs/>
          <w:spacing w:val="1"/>
          <w:kern w:val="0"/>
          <w:position w:val="-1"/>
          <w:u w:val="single"/>
        </w:rPr>
        <w:t xml:space="preserve">           </w:t>
      </w:r>
      <w:r>
        <w:rPr>
          <w:bCs/>
          <w:spacing w:val="1"/>
          <w:kern w:val="0"/>
          <w:position w:val="-1"/>
        </w:rPr>
        <w:t>(%</w:t>
      </w:r>
      <w:r>
        <w:rPr>
          <w:bCs/>
          <w:spacing w:val="1"/>
          <w:kern w:val="0"/>
          <w:position w:val="-1"/>
        </w:rPr>
        <w:t>）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line="400" w:lineRule="exact"/>
        <w:jc w:val="left"/>
        <w:rPr>
          <w:bCs/>
          <w:spacing w:val="1"/>
          <w:kern w:val="0"/>
          <w:position w:val="-1"/>
        </w:rPr>
      </w:pPr>
      <w:r>
        <w:t>居住人口（按每户</w:t>
      </w:r>
      <w:r>
        <w:t xml:space="preserve">3.2 </w:t>
      </w:r>
      <w:r>
        <w:t>人计算）：</w:t>
      </w:r>
      <w:r>
        <w:rPr>
          <w:u w:val="single"/>
        </w:rPr>
        <w:t xml:space="preserve">        </w:t>
      </w:r>
      <w:r>
        <w:t>人；</w:t>
      </w:r>
      <w:r>
        <w:rPr>
          <w:rFonts w:hint="eastAsia"/>
          <w:bCs/>
          <w:spacing w:val="1"/>
          <w:kern w:val="0"/>
          <w:position w:val="-1"/>
        </w:rPr>
        <w:t>住区人均公共绿地面积</w:t>
      </w:r>
      <w:r>
        <w:rPr>
          <w:bCs/>
          <w:spacing w:val="1"/>
          <w:kern w:val="0"/>
          <w:position w:val="-1"/>
        </w:rPr>
        <w:t>：</w:t>
      </w:r>
      <w:r>
        <w:rPr>
          <w:bCs/>
          <w:spacing w:val="1"/>
          <w:kern w:val="0"/>
          <w:position w:val="-1"/>
          <w:u w:val="single"/>
        </w:rPr>
        <w:t xml:space="preserve">            </w:t>
      </w:r>
      <w:r>
        <w:rPr>
          <w:bCs/>
          <w:spacing w:val="1"/>
          <w:kern w:val="0"/>
          <w:position w:val="-1"/>
        </w:rPr>
        <w:t>m</w:t>
      </w:r>
      <w:r>
        <w:rPr>
          <w:bCs/>
          <w:spacing w:val="1"/>
          <w:kern w:val="0"/>
          <w:position w:val="-1"/>
          <w:vertAlign w:val="superscript"/>
        </w:rPr>
        <w:t>2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line="400" w:lineRule="exact"/>
        <w:jc w:val="left"/>
        <w:rPr>
          <w:bCs/>
          <w:spacing w:val="1"/>
          <w:kern w:val="0"/>
          <w:position w:val="-1"/>
        </w:rPr>
      </w:pPr>
      <w:r>
        <w:rPr>
          <w:color w:val="000000"/>
        </w:rPr>
        <w:object w:dxaOrig="225" w:dyaOrig="225">
          <v:shape id="_x0000_i1043" type="#_x0000_t75" style="width:10.05pt;height:10.05pt" o:ole="">
            <v:imagedata r:id="rId7" o:title=""/>
          </v:shape>
          <w:control r:id="rId11" w:name="CheckBox2615" w:shapeid="_x0000_i1043"/>
        </w:object>
      </w:r>
      <w:r>
        <w:rPr>
          <w:bCs/>
          <w:spacing w:val="1"/>
          <w:kern w:val="0"/>
          <w:position w:val="-1"/>
        </w:rPr>
        <w:t>公共建筑</w:t>
      </w:r>
    </w:p>
    <w:p w:rsidR="00236396" w:rsidRDefault="00236396" w:rsidP="00236396">
      <w:pPr>
        <w:spacing w:line="400" w:lineRule="exact"/>
      </w:pPr>
      <w:r>
        <w:rPr>
          <w:rFonts w:hint="eastAsia"/>
          <w:bCs/>
          <w:spacing w:val="1"/>
          <w:kern w:val="0"/>
          <w:position w:val="-1"/>
        </w:rPr>
        <w:t>公共建筑及其配套的仅供公共建筑使用的附属用房的面积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ascii="宋体" w:hAnsi="宋体" w:cs="宋体" w:hint="eastAsia"/>
          <w:u w:val="single"/>
          <w:lang w:val="zh-CN"/>
        </w:rPr>
        <w:t xml:space="preserve">       </w:t>
      </w:r>
      <w:r>
        <w:rPr>
          <w:u w:val="single"/>
        </w:rPr>
        <w:t xml:space="preserve">  </w:t>
      </w:r>
      <w:r>
        <w:t>m</w:t>
      </w:r>
      <w:r>
        <w:rPr>
          <w:vertAlign w:val="superscript"/>
        </w:rPr>
        <w:t>2</w:t>
      </w:r>
    </w:p>
    <w:p w:rsidR="00236396" w:rsidRDefault="00236396" w:rsidP="00236396">
      <w:pPr>
        <w:spacing w:line="400" w:lineRule="exact"/>
      </w:pPr>
      <w:r>
        <w:rPr>
          <w:rFonts w:hint="eastAsia"/>
          <w:bCs/>
          <w:spacing w:val="1"/>
          <w:kern w:val="0"/>
          <w:position w:val="-1"/>
        </w:rPr>
        <w:t>公共</w:t>
      </w:r>
      <w:r>
        <w:rPr>
          <w:rFonts w:hint="eastAsia"/>
        </w:rPr>
        <w:t>建筑面积比率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</w:t>
      </w:r>
      <w:r>
        <w:rPr>
          <w:rFonts w:hint="eastAsia"/>
          <w:bCs/>
          <w:spacing w:val="1"/>
          <w:kern w:val="0"/>
          <w:position w:val="-1"/>
        </w:rPr>
        <w:t>公共</w:t>
      </w:r>
      <w:r>
        <w:rPr>
          <w:rFonts w:hint="eastAsia"/>
        </w:rPr>
        <w:t>建筑用地面积：</w:t>
      </w:r>
      <w:r>
        <w:rPr>
          <w:u w:val="single"/>
        </w:rPr>
        <w:t xml:space="preserve">          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line="400" w:lineRule="exact"/>
        <w:jc w:val="left"/>
        <w:rPr>
          <w:bCs/>
          <w:spacing w:val="1"/>
          <w:kern w:val="0"/>
          <w:position w:val="-1"/>
        </w:rPr>
      </w:pPr>
      <w:r>
        <w:rPr>
          <w:rFonts w:hint="eastAsia"/>
          <w:bCs/>
          <w:spacing w:val="1"/>
          <w:kern w:val="0"/>
          <w:position w:val="-1"/>
        </w:rPr>
        <w:t>公共建筑绿地面积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zh-CN"/>
        </w:rPr>
        <w:t xml:space="preserve">     </w:t>
      </w:r>
      <w:r>
        <w:rPr>
          <w:u w:val="single"/>
        </w:rPr>
        <w:t xml:space="preserve">  </w:t>
      </w:r>
      <w:r>
        <w:t>m</w:t>
      </w:r>
      <w:r>
        <w:rPr>
          <w:vertAlign w:val="superscript"/>
        </w:rPr>
        <w:t>2</w:t>
      </w:r>
      <w:r>
        <w:rPr>
          <w:rFonts w:hint="eastAsia"/>
          <w:bCs/>
          <w:spacing w:val="1"/>
          <w:kern w:val="0"/>
          <w:position w:val="-1"/>
        </w:rPr>
        <w:t xml:space="preserve">  </w:t>
      </w:r>
      <w:r>
        <w:rPr>
          <w:rFonts w:hint="eastAsia"/>
          <w:bCs/>
          <w:spacing w:val="1"/>
          <w:kern w:val="0"/>
          <w:position w:val="-1"/>
        </w:rPr>
        <w:t>公共建筑绿地率</w:t>
      </w:r>
      <w:r>
        <w:rPr>
          <w:bCs/>
          <w:spacing w:val="1"/>
          <w:kern w:val="0"/>
          <w:position w:val="-1"/>
          <w:u w:val="single"/>
        </w:rPr>
        <w:t xml:space="preserve">  </w:t>
      </w:r>
      <w:r>
        <w:rPr>
          <w:rFonts w:hint="eastAsia"/>
          <w:bCs/>
          <w:spacing w:val="1"/>
          <w:kern w:val="0"/>
          <w:position w:val="-1"/>
          <w:u w:val="single"/>
        </w:rPr>
        <w:t xml:space="preserve">    </w:t>
      </w:r>
      <w:r>
        <w:rPr>
          <w:bCs/>
          <w:spacing w:val="1"/>
          <w:kern w:val="0"/>
          <w:position w:val="-1"/>
          <w:u w:val="single"/>
        </w:rPr>
        <w:t xml:space="preserve">  </w:t>
      </w:r>
      <w:r>
        <w:rPr>
          <w:bCs/>
          <w:spacing w:val="1"/>
          <w:kern w:val="0"/>
          <w:position w:val="-1"/>
        </w:rPr>
        <w:t>(%</w:t>
      </w:r>
      <w:r>
        <w:rPr>
          <w:bCs/>
          <w:spacing w:val="1"/>
          <w:kern w:val="0"/>
          <w:position w:val="-1"/>
        </w:rPr>
        <w:t>）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line="400" w:lineRule="exact"/>
        <w:jc w:val="left"/>
        <w:rPr>
          <w:bCs/>
          <w:spacing w:val="1"/>
          <w:kern w:val="0"/>
          <w:position w:val="-1"/>
        </w:rPr>
      </w:pPr>
      <w:r>
        <w:rPr>
          <w:bCs/>
          <w:spacing w:val="1"/>
          <w:kern w:val="0"/>
          <w:position w:val="-1"/>
        </w:rPr>
        <w:t>项目绿地是否向社会公众开放：</w:t>
      </w:r>
      <w:r>
        <w:rPr>
          <w:color w:val="000000"/>
        </w:rPr>
        <w:object w:dxaOrig="225" w:dyaOrig="225">
          <v:shape id="_x0000_i1045" type="#_x0000_t75" style="width:10.05pt;height:10.05pt" o:ole="">
            <v:imagedata r:id="rId7" o:title=""/>
          </v:shape>
          <w:control r:id="rId12" w:name="CheckBox2613" w:shapeid="_x0000_i1045"/>
        </w:object>
      </w:r>
      <w:r>
        <w:rPr>
          <w:bCs/>
          <w:spacing w:val="1"/>
          <w:kern w:val="0"/>
          <w:position w:val="-1"/>
        </w:rP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7" type="#_x0000_t75" style="width:10.05pt;height:10.05pt" o:ole="">
            <v:imagedata r:id="rId7" o:title=""/>
          </v:shape>
          <w:control r:id="rId13" w:name="CheckBox2614" w:shapeid="_x0000_i1047"/>
        </w:object>
      </w:r>
      <w:r>
        <w:rPr>
          <w:bCs/>
          <w:spacing w:val="1"/>
          <w:kern w:val="0"/>
          <w:position w:val="-1"/>
        </w:rPr>
        <w:t>否</w:t>
      </w:r>
    </w:p>
    <w:p w:rsidR="00236396" w:rsidRDefault="00236396" w:rsidP="00236396">
      <w:pPr>
        <w:tabs>
          <w:tab w:val="left" w:pos="50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b/>
          <w:bCs/>
          <w:spacing w:val="1"/>
          <w:kern w:val="0"/>
          <w:position w:val="-1"/>
        </w:rPr>
        <w:t>3</w:t>
      </w:r>
      <w:r>
        <w:rPr>
          <w:b/>
          <w:bCs/>
          <w:kern w:val="0"/>
          <w:position w:val="-1"/>
        </w:rPr>
        <w:t>）</w:t>
      </w:r>
      <w:r>
        <w:rPr>
          <w:spacing w:val="1"/>
          <w:kern w:val="0"/>
          <w:position w:val="-1"/>
        </w:rPr>
        <w:t>证明材料</w:t>
      </w: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lastRenderedPageBreak/>
        <w:t>提交清单及要求：</w:t>
      </w: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居住建筑：</w:t>
      </w: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1</w:t>
      </w:r>
      <w:r>
        <w:rPr>
          <w:kern w:val="0"/>
        </w:rPr>
        <w:t>、建筑总平面图：应体现绿地位置，并包括用地面积、绿地面积、绿地率等技术经济指标；</w:t>
      </w:r>
    </w:p>
    <w:p w:rsidR="00236396" w:rsidRDefault="000C08A7" w:rsidP="00236396">
      <w:pPr>
        <w:autoSpaceDE w:val="0"/>
        <w:autoSpaceDN w:val="0"/>
        <w:adjustRightInd w:val="0"/>
        <w:spacing w:line="400" w:lineRule="exact"/>
        <w:jc w:val="left"/>
        <w:rPr>
          <w:rFonts w:hint="eastAsia"/>
          <w:kern w:val="0"/>
        </w:rPr>
      </w:pPr>
      <w:r>
        <w:rPr>
          <w:kern w:val="0"/>
        </w:rPr>
        <w:t>2</w:t>
      </w:r>
      <w:r>
        <w:rPr>
          <w:kern w:val="0"/>
        </w:rPr>
        <w:t>、平面日照等时线模拟图、计算书</w:t>
      </w:r>
      <w:r>
        <w:rPr>
          <w:rFonts w:hint="eastAsia"/>
          <w:kern w:val="0"/>
        </w:rPr>
        <w:t>：</w:t>
      </w:r>
      <w:r>
        <w:rPr>
          <w:rFonts w:hint="eastAsia"/>
        </w:rPr>
        <w:t>应体现绿地的日照和阴影情况；</w:t>
      </w:r>
    </w:p>
    <w:p w:rsidR="00236396" w:rsidRDefault="000C08A7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3</w:t>
      </w:r>
      <w:r w:rsidR="00236396">
        <w:rPr>
          <w:rFonts w:hint="eastAsia"/>
          <w:kern w:val="0"/>
        </w:rPr>
        <w:t xml:space="preserve">. </w:t>
      </w:r>
      <w:r w:rsidR="00236396">
        <w:rPr>
          <w:rFonts w:hint="eastAsia"/>
          <w:kern w:val="0"/>
        </w:rPr>
        <w:t>人均公共绿地计算书：应包括人均公共绿地指标计算过程。</w:t>
      </w: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公共建筑：</w:t>
      </w:r>
    </w:p>
    <w:p w:rsidR="00236396" w:rsidRDefault="00236396" w:rsidP="00236396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1</w:t>
      </w:r>
      <w:r>
        <w:rPr>
          <w:kern w:val="0"/>
        </w:rPr>
        <w:t>、建筑总平面图：应体现绿地位置，并包括用地面积、绿地面积、绿地率等技术经济指标；</w:t>
      </w:r>
    </w:p>
    <w:p w:rsidR="000C08A7" w:rsidRDefault="000C08A7" w:rsidP="000C08A7">
      <w:pPr>
        <w:spacing w:line="288" w:lineRule="auto"/>
      </w:pPr>
      <w:r>
        <w:t>2</w:t>
      </w:r>
      <w:r>
        <w:rPr>
          <w:rFonts w:hint="eastAsia"/>
        </w:rPr>
        <w:t>、公共建筑绿地是否对外开放的说明。</w:t>
      </w:r>
    </w:p>
    <w:p w:rsidR="000C08A7" w:rsidRPr="000C08A7" w:rsidRDefault="000C08A7" w:rsidP="00236396">
      <w:pPr>
        <w:autoSpaceDE w:val="0"/>
        <w:autoSpaceDN w:val="0"/>
        <w:adjustRightInd w:val="0"/>
        <w:spacing w:line="400" w:lineRule="exact"/>
        <w:jc w:val="left"/>
        <w:rPr>
          <w:rFonts w:hint="eastAsia"/>
          <w:kern w:val="0"/>
        </w:rPr>
      </w:pPr>
      <w:bookmarkStart w:id="0" w:name="_GoBack"/>
      <w:bookmarkEnd w:id="0"/>
    </w:p>
    <w:p w:rsidR="00236396" w:rsidRDefault="00236396" w:rsidP="00236396">
      <w:pPr>
        <w:tabs>
          <w:tab w:val="left" w:pos="239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236396" w:rsidTr="00512DBB">
        <w:trPr>
          <w:trHeight w:val="1595"/>
        </w:trPr>
        <w:tc>
          <w:tcPr>
            <w:tcW w:w="8536" w:type="dxa"/>
          </w:tcPr>
          <w:p w:rsidR="00236396" w:rsidRDefault="00236396" w:rsidP="00512DBB">
            <w:pPr>
              <w:tabs>
                <w:tab w:val="left" w:pos="56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</w:rPr>
            </w:pPr>
          </w:p>
        </w:tc>
      </w:tr>
    </w:tbl>
    <w:p w:rsidR="000C16B3" w:rsidRDefault="000C16B3"/>
    <w:sectPr w:rsidR="000C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A7" w:rsidRDefault="000C08A7" w:rsidP="000C08A7">
      <w:r>
        <w:separator/>
      </w:r>
    </w:p>
  </w:endnote>
  <w:endnote w:type="continuationSeparator" w:id="0">
    <w:p w:rsidR="000C08A7" w:rsidRDefault="000C08A7" w:rsidP="000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A7" w:rsidRDefault="000C08A7" w:rsidP="000C08A7">
      <w:r>
        <w:separator/>
      </w:r>
    </w:p>
  </w:footnote>
  <w:footnote w:type="continuationSeparator" w:id="0">
    <w:p w:rsidR="000C08A7" w:rsidRDefault="000C08A7" w:rsidP="000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396"/>
    <w:rsid w:val="000C08A7"/>
    <w:rsid w:val="000C16B3"/>
    <w:rsid w:val="0023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39BCA40-B54C-4BBF-806B-54D249CF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9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3639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236396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0C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8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8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2017-12-11T09:03:00Z</dcterms:created>
  <dcterms:modified xsi:type="dcterms:W3CDTF">2018-04-03T03:03:00Z</dcterms:modified>
</cp:coreProperties>
</file>