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B4" w:rsidRDefault="00EE3BB4" w:rsidP="00EE3BB4">
      <w:pPr>
        <w:pStyle w:val="3"/>
        <w:pageBreakBefore/>
        <w:spacing w:line="288" w:lineRule="auto"/>
        <w:rPr>
          <w:rFonts w:ascii="Times New Roman" w:hAnsi="Times New Roman"/>
          <w:b/>
        </w:rPr>
      </w:pPr>
      <w:r>
        <w:rPr>
          <w:b/>
        </w:rPr>
        <w:t>4.2.11</w:t>
      </w:r>
      <w:r>
        <w:rPr>
          <w:rFonts w:hint="eastAsia"/>
          <w:b/>
        </w:rPr>
        <w:t>提供便利的公共服务。（评价总分值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EE3BB4" w:rsidRDefault="00EE3BB4" w:rsidP="00EE3BB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EE3BB4" w:rsidRDefault="00EE3BB4" w:rsidP="00EE3BB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原因（）</w:t>
      </w:r>
    </w:p>
    <w:p w:rsidR="00EE3BB4" w:rsidRDefault="00EE3BB4" w:rsidP="00EE3BB4">
      <w:pPr>
        <w:spacing w:line="288" w:lineRule="auto"/>
        <w:rPr>
          <w:rFonts w:ascii="宋体" w:hAnsi="宋体" w:cs="宋体"/>
          <w:szCs w:val="21"/>
        </w:rPr>
      </w:pPr>
    </w:p>
    <w:p w:rsidR="00EE3BB4" w:rsidRDefault="00EE3BB4" w:rsidP="00EE3BB4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p w:rsidR="00EE3BB4" w:rsidRDefault="00EE3BB4" w:rsidP="00EE3BB4">
      <w:p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b/>
          <w:kern w:val="0"/>
          <w:szCs w:val="21"/>
        </w:rPr>
        <w:t>居住建筑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1899"/>
        <w:gridCol w:w="1955"/>
      </w:tblGrid>
      <w:tr w:rsidR="00EE3BB4" w:rsidTr="00D320F1">
        <w:tc>
          <w:tcPr>
            <w:tcW w:w="5660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899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955" w:type="dxa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EE3BB4" w:rsidTr="00D320F1">
        <w:trPr>
          <w:trHeight w:val="1310"/>
        </w:trPr>
        <w:tc>
          <w:tcPr>
            <w:tcW w:w="5660" w:type="dxa"/>
            <w:vAlign w:val="center"/>
          </w:tcPr>
          <w:p w:rsidR="00EE3BB4" w:rsidRDefault="00EE3BB4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满足下列要求中3 项，得3分；满足4项及以上，得6分：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场地出入口到达幼儿园的步行距离不大于300m；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场地出入口到达小学的步行距离不大于500m；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场地出入口到达商业服务设施的步行距离不大于500m；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相关设施集中设置并向周边居民开放；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场地1000m 范围内设有5 种以上的公共服务设施；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停车库或停车场内设置新能源汽车充电设施。</w:t>
            </w:r>
          </w:p>
        </w:tc>
        <w:tc>
          <w:tcPr>
            <w:tcW w:w="1899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3/6</w:t>
            </w:r>
          </w:p>
        </w:tc>
        <w:tc>
          <w:tcPr>
            <w:tcW w:w="1955" w:type="dxa"/>
            <w:vAlign w:val="center"/>
          </w:tcPr>
          <w:p w:rsidR="00EE3BB4" w:rsidRDefault="00EE3BB4" w:rsidP="00D320F1">
            <w:pPr>
              <w:keepNext/>
              <w:keepLines/>
              <w:spacing w:line="288" w:lineRule="auto"/>
              <w:jc w:val="center"/>
              <w:outlineLvl w:val="0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EE3BB4" w:rsidRDefault="00EE3BB4" w:rsidP="00EE3BB4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EE3BB4" w:rsidRDefault="00EE3BB4" w:rsidP="00EE3BB4">
      <w:p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b/>
          <w:kern w:val="0"/>
          <w:szCs w:val="21"/>
        </w:rPr>
        <w:t>公共建筑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9"/>
        <w:gridCol w:w="2212"/>
        <w:gridCol w:w="1743"/>
      </w:tblGrid>
      <w:tr w:rsidR="00EE3BB4" w:rsidTr="00D320F1">
        <w:tc>
          <w:tcPr>
            <w:tcW w:w="5559" w:type="dxa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2212" w:type="dxa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743" w:type="dxa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EE3BB4" w:rsidTr="00D320F1">
        <w:trPr>
          <w:trHeight w:val="204"/>
        </w:trPr>
        <w:tc>
          <w:tcPr>
            <w:tcW w:w="5559" w:type="dxa"/>
            <w:vAlign w:val="center"/>
          </w:tcPr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满足下列要求中2 项，得3 分；满足3 项及以上，得6分：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2种及以上的公共建筑集中设置，或公共建筑兼容2 种及以上的公共服务功能；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配套辅助设施设备共同使用、资源共享；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建筑向社会公众提供开放的公共空间；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室外活动场地错时向周边居民免费开放；</w:t>
            </w:r>
          </w:p>
          <w:p w:rsidR="00EE3BB4" w:rsidRDefault="00EE3BB4" w:rsidP="00D320F1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停车库或停车场内设置新能源汽车充电设施。</w:t>
            </w:r>
          </w:p>
        </w:tc>
        <w:tc>
          <w:tcPr>
            <w:tcW w:w="2212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3/6</w:t>
            </w:r>
          </w:p>
        </w:tc>
        <w:tc>
          <w:tcPr>
            <w:tcW w:w="1743" w:type="dxa"/>
            <w:vAlign w:val="center"/>
          </w:tcPr>
          <w:p w:rsidR="00EE3BB4" w:rsidRDefault="00EE3BB4" w:rsidP="00D320F1">
            <w:pPr>
              <w:keepNext/>
              <w:keepLines/>
              <w:spacing w:line="288" w:lineRule="auto"/>
              <w:jc w:val="center"/>
              <w:outlineLvl w:val="0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EE3BB4" w:rsidRDefault="00EE3BB4" w:rsidP="00EE3BB4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EE3BB4" w:rsidRDefault="00EE3BB4" w:rsidP="00EE3BB4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EE3BB4" w:rsidRDefault="00EE3BB4" w:rsidP="00EE3BB4">
      <w:p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b/>
          <w:kern w:val="0"/>
          <w:szCs w:val="21"/>
        </w:rPr>
        <w:t>居住建筑</w:t>
      </w:r>
    </w:p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场地出入口到达幼儿园、小学、商业等服务设施的步行距离：</w:t>
      </w:r>
    </w:p>
    <w:p w:rsidR="00EE3BB4" w:rsidRDefault="00EE3BB4" w:rsidP="00EE3BB4">
      <w:pPr>
        <w:pStyle w:val="1"/>
        <w:tabs>
          <w:tab w:val="left" w:pos="420"/>
        </w:tabs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场地出入口到达幼儿园的步行距离不大于300m：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</w:p>
    <w:p w:rsidR="00EE3BB4" w:rsidRDefault="00EE3BB4" w:rsidP="00EE3BB4">
      <w:pPr>
        <w:pStyle w:val="1"/>
        <w:tabs>
          <w:tab w:val="left" w:pos="420"/>
        </w:tabs>
        <w:spacing w:line="288" w:lineRule="auto"/>
        <w:ind w:left="420" w:firstLineChars="0" w:firstLine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场地出入口到达小学的步行距离不大于500m: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</w:p>
    <w:p w:rsidR="00EE3BB4" w:rsidRDefault="00EE3BB4" w:rsidP="00EE3BB4">
      <w:pPr>
        <w:pStyle w:val="1"/>
        <w:tabs>
          <w:tab w:val="left" w:pos="420"/>
        </w:tabs>
        <w:spacing w:line="288" w:lineRule="auto"/>
        <w:ind w:left="420" w:firstLineChars="0" w:firstLine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场地出入口到达商业服务设施的步行距离不大于500m：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</w:p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场地内公共服务设施集中设置并向周边居民开放</w:t>
      </w:r>
    </w:p>
    <w:p w:rsidR="00EE3BB4" w:rsidRDefault="00EE3BB4" w:rsidP="00EE3BB4">
      <w:pPr>
        <w:pStyle w:val="1"/>
        <w:spacing w:line="288" w:lineRule="auto"/>
        <w:ind w:left="420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场地内公共服务设施是否集中设置：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□是、□否</w:t>
      </w:r>
    </w:p>
    <w:p w:rsidR="00EE3BB4" w:rsidRDefault="00EE3BB4" w:rsidP="00EE3BB4">
      <w:pPr>
        <w:pStyle w:val="1"/>
        <w:spacing w:line="288" w:lineRule="auto"/>
        <w:ind w:left="420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集中设置的公共服务设施包括：____________________________________</w:t>
      </w:r>
    </w:p>
    <w:p w:rsidR="00EE3BB4" w:rsidRDefault="00EE3BB4" w:rsidP="00EE3BB4">
      <w:pPr>
        <w:pStyle w:val="1"/>
        <w:spacing w:line="288" w:lineRule="auto"/>
        <w:ind w:left="420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集中设置的公共服务设施是否向周边居民开放：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□是、□否</w:t>
      </w:r>
    </w:p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场地1000m 范围内的公共服务设施</w:t>
      </w:r>
    </w:p>
    <w:p w:rsidR="00EE3BB4" w:rsidRDefault="00EE3BB4" w:rsidP="00EE3BB4">
      <w:pPr>
        <w:pStyle w:val="1"/>
        <w:spacing w:line="288" w:lineRule="auto"/>
        <w:ind w:left="420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场地1000m 范围内设公共服务设施种类共____种；</w:t>
      </w:r>
    </w:p>
    <w:p w:rsidR="00EE3BB4" w:rsidRDefault="00EE3BB4" w:rsidP="00EE3BB4">
      <w:pPr>
        <w:pStyle w:val="1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包括：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教育、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医疗卫生、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文化体育、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商业服务、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金融邮电、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社区服务、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市政公用、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市政管理、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其他__________；</w:t>
      </w:r>
    </w:p>
    <w:p w:rsidR="00EE3BB4" w:rsidRDefault="00EE3BB4" w:rsidP="00EE3BB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住区场地1000m 范围内的公共服务设施统计：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102"/>
        <w:gridCol w:w="1305"/>
        <w:gridCol w:w="4107"/>
      </w:tblGrid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公共设施项目名称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类别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场地出入口/建筑出入口</w:t>
            </w:r>
          </w:p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距服务设施的距离（m）</w:t>
            </w:r>
          </w:p>
        </w:tc>
      </w:tr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停车库或停车场内设置新能源汽车充电设施</w:t>
      </w:r>
    </w:p>
    <w:p w:rsidR="00EE3BB4" w:rsidRDefault="00EE3BB4" w:rsidP="00EE3BB4">
      <w:pPr>
        <w:pStyle w:val="1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  <w:lang w:val="zh-CN"/>
        </w:rPr>
        <w:t>停车库或停车场内是否设置新能源汽车充电设施：</w:t>
      </w:r>
      <w:r>
        <w:rPr>
          <w:rFonts w:ascii="宋体" w:hAnsi="宋体" w:cs="宋体" w:hint="eastAsia"/>
          <w:kern w:val="0"/>
          <w:szCs w:val="21"/>
        </w:rPr>
        <w:t>□是、□否</w:t>
      </w:r>
    </w:p>
    <w:p w:rsidR="00EE3BB4" w:rsidRDefault="00EE3BB4" w:rsidP="00EE3BB4">
      <w:pPr>
        <w:pStyle w:val="1"/>
        <w:spacing w:line="288" w:lineRule="auto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新能源汽车充电设施数量：</w:t>
      </w:r>
      <w:r>
        <w:rPr>
          <w:rFonts w:ascii="宋体" w:hAnsi="宋体" w:cs="宋体" w:hint="eastAsia"/>
          <w:szCs w:val="21"/>
        </w:rPr>
        <w:t>个</w:t>
      </w:r>
    </w:p>
    <w:p w:rsidR="00EE3BB4" w:rsidRDefault="00EE3BB4" w:rsidP="00EE3BB4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EE3BB4" w:rsidRDefault="00EE3BB4" w:rsidP="00EE3BB4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公共建筑集中设置，或公共建筑兼容公共服务功能</w:t>
      </w:r>
    </w:p>
    <w:p w:rsidR="00EE3BB4" w:rsidRDefault="00EE3BB4" w:rsidP="00EE3BB4">
      <w:pPr>
        <w:pStyle w:val="1"/>
        <w:spacing w:line="288" w:lineRule="auto"/>
        <w:ind w:firstLineChars="0" w:firstLine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本项目属于：</w:t>
      </w:r>
      <w:r>
        <w:rPr>
          <w:rFonts w:ascii="宋体" w:hAnsi="宋体" w:cs="宋体" w:hint="eastAsia"/>
          <w:szCs w:val="21"/>
          <w:lang w:val="zh-CN"/>
        </w:rPr>
        <w:t xml:space="preserve"> </w:t>
      </w:r>
      <w:bookmarkStart w:id="0" w:name="_GoBack"/>
      <w:bookmarkEnd w:id="0"/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公共建筑集中设置</w:t>
      </w:r>
      <w:r>
        <w:rPr>
          <w:rFonts w:ascii="宋体" w:hAnsi="宋体" w:cs="宋体" w:hint="eastAsia"/>
          <w:szCs w:val="21"/>
          <w:lang w:val="zh-CN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公共建筑兼容公共服务功能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  <w:lang w:val="zh-CN"/>
        </w:rPr>
      </w:pPr>
      <w:r>
        <w:rPr>
          <w:rFonts w:ascii="宋体" w:hAnsi="宋体" w:cs="宋体" w:hint="eastAsia"/>
          <w:bCs/>
          <w:sz w:val="21"/>
          <w:szCs w:val="21"/>
          <w:lang w:val="zh-CN"/>
        </w:rPr>
        <w:t>集中设置的公共建筑或公共建筑兼容公共服务功能共___种；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公共建筑类别及其公共服务功能统计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179"/>
        <w:gridCol w:w="2179"/>
        <w:gridCol w:w="2180"/>
        <w:gridCol w:w="2180"/>
      </w:tblGrid>
      <w:tr w:rsidR="00EE3BB4" w:rsidTr="00D320F1">
        <w:tc>
          <w:tcPr>
            <w:tcW w:w="796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公共建筑名称</w:t>
            </w: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功能类型</w:t>
            </w: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公共服务功能数量</w:t>
            </w: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公共服务功能描述</w:t>
            </w:r>
          </w:p>
        </w:tc>
      </w:tr>
      <w:tr w:rsidR="00EE3BB4" w:rsidTr="00D320F1">
        <w:tc>
          <w:tcPr>
            <w:tcW w:w="796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  <w:tr w:rsidR="00EE3BB4" w:rsidTr="00D320F1">
        <w:tc>
          <w:tcPr>
            <w:tcW w:w="796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</w:tbl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配套辅助设施设备共享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配套辅助设施设备是否共同使用、资源共享：□是、□否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配套辅助设施设备共同使用、资源共享情况统计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4793"/>
        <w:gridCol w:w="909"/>
        <w:gridCol w:w="910"/>
        <w:gridCol w:w="1877"/>
      </w:tblGrid>
      <w:tr w:rsidR="00EE3BB4" w:rsidTr="00D320F1">
        <w:trPr>
          <w:trHeight w:val="477"/>
        </w:trPr>
        <w:tc>
          <w:tcPr>
            <w:tcW w:w="1025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793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共同使用、资源共享的辅助设施设备名称</w:t>
            </w:r>
          </w:p>
        </w:tc>
        <w:tc>
          <w:tcPr>
            <w:tcW w:w="909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910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作用</w:t>
            </w:r>
          </w:p>
        </w:tc>
        <w:tc>
          <w:tcPr>
            <w:tcW w:w="1877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共享对象</w:t>
            </w:r>
          </w:p>
        </w:tc>
      </w:tr>
      <w:tr w:rsidR="00EE3BB4" w:rsidTr="00D320F1">
        <w:tc>
          <w:tcPr>
            <w:tcW w:w="1025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793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909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910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1877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  <w:tr w:rsidR="00EE3BB4" w:rsidTr="00D320F1">
        <w:tc>
          <w:tcPr>
            <w:tcW w:w="1025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793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909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910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  <w:tc>
          <w:tcPr>
            <w:tcW w:w="1877" w:type="dxa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</w:tbl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建筑向社会公众提供开放的公共空间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建筑是否有向社会公众开放的公共空间：□是、□否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建筑向社会公众提供开放的公共空间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4793"/>
        <w:gridCol w:w="911"/>
        <w:gridCol w:w="905"/>
        <w:gridCol w:w="1877"/>
      </w:tblGrid>
      <w:tr w:rsidR="00EE3BB4" w:rsidTr="00D320F1">
        <w:trPr>
          <w:trHeight w:val="339"/>
        </w:trPr>
        <w:tc>
          <w:tcPr>
            <w:tcW w:w="1028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793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向社会公众提供开放的公共空间的名称</w:t>
            </w:r>
          </w:p>
        </w:tc>
        <w:tc>
          <w:tcPr>
            <w:tcW w:w="911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905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作用</w:t>
            </w:r>
          </w:p>
        </w:tc>
        <w:tc>
          <w:tcPr>
            <w:tcW w:w="1877" w:type="dxa"/>
            <w:vAlign w:val="center"/>
          </w:tcPr>
          <w:p w:rsidR="00EE3BB4" w:rsidRDefault="00EE3BB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开放时间</w:t>
            </w:r>
          </w:p>
        </w:tc>
      </w:tr>
      <w:tr w:rsidR="00EE3BB4" w:rsidTr="00D320F1">
        <w:tc>
          <w:tcPr>
            <w:tcW w:w="1028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4793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11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05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877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1028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</w:t>
            </w:r>
          </w:p>
        </w:tc>
        <w:tc>
          <w:tcPr>
            <w:tcW w:w="4793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11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05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877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1028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</w:t>
            </w:r>
          </w:p>
        </w:tc>
        <w:tc>
          <w:tcPr>
            <w:tcW w:w="4793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11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05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877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EE3BB4" w:rsidTr="00D320F1">
        <w:tc>
          <w:tcPr>
            <w:tcW w:w="1028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</w:p>
        </w:tc>
        <w:tc>
          <w:tcPr>
            <w:tcW w:w="4793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11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905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877" w:type="dxa"/>
            <w:vAlign w:val="center"/>
          </w:tcPr>
          <w:p w:rsidR="00EE3BB4" w:rsidRDefault="00EE3BB4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室外活动场地错时向周边居民免费开放：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如室外活动场地错时向周边居民免费开放，请简要描述下错时开放的实施办法，包括开放的空间、时间以及相关管理制度（200字以内）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0"/>
      </w:tblGrid>
      <w:tr w:rsidR="00EE3BB4" w:rsidTr="00D320F1">
        <w:trPr>
          <w:trHeight w:val="1605"/>
        </w:trPr>
        <w:tc>
          <w:tcPr>
            <w:tcW w:w="9520" w:type="dxa"/>
          </w:tcPr>
          <w:p w:rsidR="00EE3BB4" w:rsidRDefault="00EE3BB4" w:rsidP="00D320F1">
            <w:pPr>
              <w:pStyle w:val="a5"/>
              <w:spacing w:line="288" w:lineRule="auto"/>
              <w:ind w:firstLineChars="200" w:firstLine="420"/>
              <w:outlineLvl w:val="9"/>
              <w:rPr>
                <w:rFonts w:ascii="宋体" w:hAnsi="宋体" w:cs="宋体"/>
                <w:bCs/>
                <w:kern w:val="44"/>
                <w:sz w:val="21"/>
                <w:szCs w:val="21"/>
              </w:rPr>
            </w:pPr>
          </w:p>
        </w:tc>
      </w:tr>
    </w:tbl>
    <w:p w:rsidR="00EE3BB4" w:rsidRDefault="00EE3BB4" w:rsidP="00EE3BB4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停车库或停车场内设置新能源汽车充电设施</w:t>
      </w:r>
    </w:p>
    <w:p w:rsidR="00EE3BB4" w:rsidRDefault="00EE3BB4" w:rsidP="00EE3BB4">
      <w:pPr>
        <w:pStyle w:val="1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  <w:lang w:val="zh-CN"/>
        </w:rPr>
        <w:t>停车库或停车场内是否设置新能源汽车充电设施：</w:t>
      </w:r>
      <w:r>
        <w:rPr>
          <w:rFonts w:ascii="宋体" w:hAnsi="宋体" w:cs="宋体" w:hint="eastAsia"/>
          <w:kern w:val="0"/>
          <w:szCs w:val="21"/>
        </w:rPr>
        <w:t>□是、□否</w:t>
      </w:r>
    </w:p>
    <w:p w:rsidR="00EE3BB4" w:rsidRDefault="00EE3BB4" w:rsidP="00EE3BB4">
      <w:pPr>
        <w:pStyle w:val="1"/>
        <w:spacing w:line="288" w:lineRule="auto"/>
        <w:rPr>
          <w:rFonts w:ascii="宋体" w:hAnsi="宋体" w:cs="宋体"/>
          <w:kern w:val="0"/>
          <w:szCs w:val="21"/>
          <w:highlight w:val="yellow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新能源汽车充电设施数量：</w:t>
      </w:r>
      <w:r>
        <w:rPr>
          <w:rFonts w:ascii="宋体" w:hAnsi="宋体" w:cs="宋体" w:hint="eastAsia"/>
          <w:szCs w:val="21"/>
        </w:rPr>
        <w:t>个</w:t>
      </w:r>
    </w:p>
    <w:p w:rsidR="00EE3BB4" w:rsidRDefault="00EE3BB4" w:rsidP="00EE3BB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EE3BB4" w:rsidRDefault="00EE3BB4" w:rsidP="00EE3BB4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EE3BB4" w:rsidRDefault="00EE3BB4" w:rsidP="00EE3BB4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3231"/>
        <w:gridCol w:w="2170"/>
        <w:gridCol w:w="875"/>
        <w:gridCol w:w="840"/>
        <w:gridCol w:w="735"/>
      </w:tblGrid>
      <w:tr w:rsidR="00EE3BB4" w:rsidTr="00D320F1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231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2170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75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35" w:type="dxa"/>
            <w:shd w:val="clear" w:color="DBE5F1" w:fill="DBE5F1"/>
            <w:vAlign w:val="center"/>
          </w:tcPr>
          <w:p w:rsidR="00EE3BB4" w:rsidRDefault="00EE3BB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EE3BB4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规划设计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项目周边关系图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应标明场地1000m范围内公共服务设施的位置、类别、功能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场地1000m 范围内的公共服务设施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1635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公共服务设施平面图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应标明场地出入口或单栋建筑出入口位置、幼儿园、小学、商业等服务设施位置，场地出入口或单栋建筑出入口到达幼儿园、小学、商业等服务设施的步行线路及距离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场地出入口到达幼儿园、小学、商业等服务设施的步行距离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515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应体现场地内建筑的功能与布局；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公共建筑集中设置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515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应标明相关设施集中设置的位置及类别（有相关公共服务设施集中设置的项目）</w:t>
            </w: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场地内公共服务设施集中设置并向周边居民开放、配套设施共享</w:t>
            </w:r>
          </w:p>
        </w:tc>
        <w:tc>
          <w:tcPr>
            <w:tcW w:w="8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1056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应体现新能源汽车充电设施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停车库或停车场内设置新能源汽车充电设施</w:t>
            </w: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307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应体现建筑内公共服务功能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公共建筑兼容公共服务功能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307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共享配套设施的位置、面积以及功能类型</w:t>
            </w: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配套辅助设施设备共享、</w:t>
            </w:r>
          </w:p>
        </w:tc>
        <w:tc>
          <w:tcPr>
            <w:tcW w:w="8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307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应体现停车库内新能源汽车充电设施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停车库或停车场内设置新能源汽车充电设施</w:t>
            </w: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各类公共服务设施现场照片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场地1000m 范围内的公共服务设施照片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场地1000m 范围内的公共服务设施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配套辅助设施设备现场照片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配套辅助设施设备共享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公共服务设施向周边居民开放的组织管理实施方案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应包括向周边居民开放的服务设施类别、位置、开放时间及管理方式。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场地内公共服务设施集中设置并向周边居民开放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建筑内公共空间对外开放的说明文件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应包括对外开放空间、开放时间以及具体的公众使用的管理办法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建筑向社会公众提供开放的公共空间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室外活动场地免费对外开放的说明文件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应包括对外开放空间、开放时间以及具体的公众使用的管理办法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室外活动场地错时向周边居民免费开放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3BB4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配套设施共享说明文件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应包括配套设施共享的管理办法，保证设施的有序使用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配套辅助设施设备共享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B4" w:rsidRDefault="00EE3BB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F450E" w:rsidRPr="00EE3BB4" w:rsidRDefault="00EF450E" w:rsidP="00EE3BB4"/>
    <w:sectPr w:rsidR="00EF450E" w:rsidRPr="00EE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0E" w:rsidRDefault="00EF450E" w:rsidP="00EF450E">
      <w:r>
        <w:separator/>
      </w:r>
    </w:p>
  </w:endnote>
  <w:endnote w:type="continuationSeparator" w:id="0">
    <w:p w:rsidR="00EF450E" w:rsidRDefault="00EF450E" w:rsidP="00E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0E" w:rsidRDefault="00EF450E" w:rsidP="00EF450E">
      <w:r>
        <w:separator/>
      </w:r>
    </w:p>
  </w:footnote>
  <w:footnote w:type="continuationSeparator" w:id="0">
    <w:p w:rsidR="00EF450E" w:rsidRDefault="00EF450E" w:rsidP="00EF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2"/>
    <w:multiLevelType w:val="multilevel"/>
    <w:tmpl w:val="000000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85"/>
    <w:multiLevelType w:val="multilevel"/>
    <w:tmpl w:val="00000085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CF"/>
    <w:rsid w:val="005214CF"/>
    <w:rsid w:val="00546C8E"/>
    <w:rsid w:val="00B46C65"/>
    <w:rsid w:val="00BC542C"/>
    <w:rsid w:val="00EE3BB4"/>
    <w:rsid w:val="00E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5:chartTrackingRefBased/>
  <w15:docId w15:val="{16C86760-E941-411A-8C65-721CDDE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5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F450E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50E"/>
    <w:rPr>
      <w:sz w:val="18"/>
      <w:szCs w:val="18"/>
    </w:rPr>
  </w:style>
  <w:style w:type="character" w:customStyle="1" w:styleId="3Char">
    <w:name w:val="标题 3 Char"/>
    <w:basedOn w:val="a0"/>
    <w:link w:val="3"/>
    <w:rsid w:val="00EF450E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EF450E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EF450E"/>
    <w:pPr>
      <w:ind w:firstLineChars="200" w:firstLine="420"/>
    </w:pPr>
  </w:style>
  <w:style w:type="paragraph" w:customStyle="1" w:styleId="a5">
    <w:name w:val="条文"/>
    <w:basedOn w:val="a"/>
    <w:link w:val="Char1"/>
    <w:rsid w:val="00EF450E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EF45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368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2018-06-20T02:09:00Z</dcterms:created>
  <dcterms:modified xsi:type="dcterms:W3CDTF">2018-07-04T07:52:00Z</dcterms:modified>
</cp:coreProperties>
</file>