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0DD" w:rsidRDefault="001A10DD" w:rsidP="001A10DD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5.2.2外门窗、玻璃幕墙的可开启部分能使建筑获得良好的通风。（评价总分值6分）</w:t>
      </w:r>
    </w:p>
    <w:p w:rsidR="001A10DD" w:rsidRDefault="001A10DD" w:rsidP="001A10DD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1A10DD" w:rsidRDefault="001A10DD" w:rsidP="001A10DD">
      <w:pPr>
        <w:spacing w:line="288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□不参评</w:t>
      </w:r>
    </w:p>
    <w:p w:rsidR="001A10DD" w:rsidRDefault="001A10DD" w:rsidP="001A10DD">
      <w:pPr>
        <w:spacing w:line="288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原因（□项目有严格室内温湿度要求、□项目为</w:t>
      </w:r>
      <w:r>
        <w:rPr>
          <w:rFonts w:ascii="宋体" w:hAnsi="宋体" w:cs="宋体" w:hint="eastAsia"/>
          <w:szCs w:val="21"/>
        </w:rPr>
        <w:t>不宜进行自然通风的建筑或房间、□建筑层数大于18层时，18层以上部分不参评、</w:t>
      </w:r>
      <w:r>
        <w:rPr>
          <w:rFonts w:ascii="宋体" w:hAnsi="宋体" w:cs="宋体" w:hint="eastAsia"/>
          <w:kern w:val="0"/>
          <w:szCs w:val="21"/>
        </w:rPr>
        <w:t>□其他）</w:t>
      </w:r>
    </w:p>
    <w:p w:rsidR="001A10DD" w:rsidRDefault="001A10DD" w:rsidP="001A10DD">
      <w:pPr>
        <w:spacing w:line="288" w:lineRule="auto"/>
        <w:jc w:val="left"/>
        <w:rPr>
          <w:rFonts w:ascii="宋体" w:hAnsi="宋体" w:cs="宋体"/>
          <w:szCs w:val="21"/>
        </w:rPr>
      </w:pPr>
    </w:p>
    <w:p w:rsidR="001A10DD" w:rsidRDefault="001A10DD" w:rsidP="001A10DD">
      <w:pPr>
        <w:pStyle w:val="1"/>
        <w:numPr>
          <w:ilvl w:val="0"/>
          <w:numId w:val="2"/>
        </w:numPr>
        <w:spacing w:line="288" w:lineRule="auto"/>
        <w:ind w:firstLineChars="0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1381"/>
        <w:gridCol w:w="1580"/>
        <w:gridCol w:w="1581"/>
        <w:gridCol w:w="1629"/>
        <w:gridCol w:w="2212"/>
      </w:tblGrid>
      <w:tr w:rsidR="001A10DD" w:rsidTr="00D320F1">
        <w:tc>
          <w:tcPr>
            <w:tcW w:w="1279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381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外门窗/玻璃幕墙设置情况</w:t>
            </w:r>
          </w:p>
        </w:tc>
        <w:tc>
          <w:tcPr>
            <w:tcW w:w="3161" w:type="dxa"/>
            <w:gridSpan w:val="2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1629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2212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1A10DD" w:rsidTr="00D320F1">
        <w:trPr>
          <w:trHeight w:val="604"/>
        </w:trPr>
        <w:tc>
          <w:tcPr>
            <w:tcW w:w="1279" w:type="dxa"/>
            <w:vMerge w:val="restart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仅设玻璃幕墙</w:t>
            </w:r>
          </w:p>
        </w:tc>
        <w:tc>
          <w:tcPr>
            <w:tcW w:w="1580" w:type="dxa"/>
            <w:vMerge w:val="restart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玻璃幕墙透明部分可开启面积比例</w:t>
            </w:r>
          </w:p>
        </w:tc>
        <w:tc>
          <w:tcPr>
            <w:tcW w:w="1581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达到5%</w:t>
            </w:r>
          </w:p>
        </w:tc>
        <w:tc>
          <w:tcPr>
            <w:tcW w:w="1629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212" w:type="dxa"/>
            <w:vMerge w:val="restart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A10DD" w:rsidTr="00D320F1">
        <w:tc>
          <w:tcPr>
            <w:tcW w:w="1279" w:type="dxa"/>
            <w:vMerge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1" w:type="dxa"/>
            <w:vMerge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0" w:type="dxa"/>
            <w:vMerge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达到10%</w:t>
            </w:r>
          </w:p>
        </w:tc>
        <w:tc>
          <w:tcPr>
            <w:tcW w:w="1629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212" w:type="dxa"/>
            <w:vMerge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A10DD" w:rsidTr="00D320F1">
        <w:trPr>
          <w:trHeight w:val="379"/>
        </w:trPr>
        <w:tc>
          <w:tcPr>
            <w:tcW w:w="1279" w:type="dxa"/>
            <w:vMerge w:val="restart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381" w:type="dxa"/>
            <w:vMerge w:val="restart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仅设外门窗</w:t>
            </w:r>
          </w:p>
        </w:tc>
        <w:tc>
          <w:tcPr>
            <w:tcW w:w="1580" w:type="dxa"/>
            <w:vMerge w:val="restart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外窗可开启面积比例</w:t>
            </w:r>
          </w:p>
        </w:tc>
        <w:tc>
          <w:tcPr>
            <w:tcW w:w="1581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达到30%</w:t>
            </w:r>
          </w:p>
        </w:tc>
        <w:tc>
          <w:tcPr>
            <w:tcW w:w="1629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212" w:type="dxa"/>
            <w:vMerge w:val="restart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A10DD" w:rsidTr="00D320F1">
        <w:tc>
          <w:tcPr>
            <w:tcW w:w="1279" w:type="dxa"/>
            <w:vMerge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1" w:type="dxa"/>
            <w:vMerge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0" w:type="dxa"/>
            <w:vMerge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达到35%</w:t>
            </w:r>
          </w:p>
        </w:tc>
        <w:tc>
          <w:tcPr>
            <w:tcW w:w="1629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212" w:type="dxa"/>
            <w:vMerge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A10DD" w:rsidTr="00D320F1">
        <w:tc>
          <w:tcPr>
            <w:tcW w:w="1279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381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设玻璃幕墙和外门窗</w:t>
            </w:r>
          </w:p>
        </w:tc>
        <w:tc>
          <w:tcPr>
            <w:tcW w:w="3161" w:type="dxa"/>
            <w:gridSpan w:val="2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按本表序号第1、2进行评价，得分取两项得分的平均值</w:t>
            </w:r>
          </w:p>
        </w:tc>
        <w:tc>
          <w:tcPr>
            <w:tcW w:w="1629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</w:t>
            </w:r>
          </w:p>
        </w:tc>
        <w:tc>
          <w:tcPr>
            <w:tcW w:w="2212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A10DD" w:rsidTr="00D320F1">
        <w:tc>
          <w:tcPr>
            <w:tcW w:w="5821" w:type="dxa"/>
            <w:gridSpan w:val="4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合计</w:t>
            </w:r>
          </w:p>
        </w:tc>
        <w:tc>
          <w:tcPr>
            <w:tcW w:w="1629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212" w:type="dxa"/>
            <w:vAlign w:val="center"/>
          </w:tcPr>
          <w:p w:rsidR="001A10DD" w:rsidRDefault="001A10DD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1A10DD" w:rsidRDefault="001A10DD" w:rsidP="001A10DD">
      <w:pPr>
        <w:pStyle w:val="1"/>
        <w:spacing w:line="288" w:lineRule="auto"/>
        <w:ind w:firstLineChars="0" w:firstLine="0"/>
        <w:jc w:val="left"/>
        <w:rPr>
          <w:rFonts w:ascii="宋体" w:hAnsi="宋体" w:cs="宋体"/>
          <w:szCs w:val="21"/>
        </w:rPr>
      </w:pPr>
    </w:p>
    <w:p w:rsidR="001A10DD" w:rsidRDefault="001A10DD" w:rsidP="001A10DD">
      <w:pPr>
        <w:pStyle w:val="1"/>
        <w:spacing w:line="288" w:lineRule="auto"/>
        <w:ind w:firstLineChars="0" w:firstLine="0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2、评价要点</w:t>
      </w:r>
    </w:p>
    <w:p w:rsidR="001A10DD" w:rsidRDefault="001A10DD" w:rsidP="001A10DD">
      <w:pPr>
        <w:pStyle w:val="a6"/>
        <w:numPr>
          <w:ilvl w:val="0"/>
          <w:numId w:val="1"/>
        </w:numPr>
        <w:ind w:leftChars="100" w:left="630" w:hangingChars="20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外窗可开启面积比例：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92"/>
        <w:gridCol w:w="1095"/>
        <w:gridCol w:w="1083"/>
        <w:gridCol w:w="938"/>
        <w:gridCol w:w="940"/>
        <w:gridCol w:w="1666"/>
        <w:gridCol w:w="1405"/>
        <w:gridCol w:w="15"/>
        <w:gridCol w:w="1420"/>
      </w:tblGrid>
      <w:tr w:rsidR="001A10DD" w:rsidTr="00D320F1">
        <w:trPr>
          <w:cantSplit/>
          <w:trHeight w:val="285"/>
          <w:jc w:val="center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建筑编号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外门窗编号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外门窗类型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外窗尺寸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数量（个）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可开启面积</w:t>
            </w:r>
          </w:p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（m</w:t>
            </w:r>
            <w:r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可开启面积比例（%）</w:t>
            </w: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宽度（m）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高度（m）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8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8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8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1A10DD" w:rsidRDefault="001A10DD" w:rsidP="001A10DD">
      <w:pPr>
        <w:pStyle w:val="a6"/>
        <w:ind w:leftChars="-100" w:left="-210" w:firstLineChars="200" w:firstLine="42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bCs/>
          <w:szCs w:val="21"/>
        </w:rPr>
        <w:t>注：1、当建筑层数大于18层时，仅统计18层及以下的外窗。</w:t>
      </w:r>
    </w:p>
    <w:p w:rsidR="001A10DD" w:rsidRDefault="001A10DD" w:rsidP="001A10DD">
      <w:pPr>
        <w:pStyle w:val="a6"/>
        <w:ind w:left="0" w:firstLineChars="300" w:firstLine="63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2、有严格的室内温湿度要求、不宜进行自然通风的房间，其面积不计入。</w:t>
      </w:r>
    </w:p>
    <w:p w:rsidR="001A10DD" w:rsidRDefault="001A10DD" w:rsidP="001A10DD">
      <w:pPr>
        <w:pStyle w:val="a6"/>
        <w:ind w:left="0"/>
        <w:rPr>
          <w:rFonts w:ascii="宋体" w:hAnsi="宋体" w:cs="宋体"/>
          <w:b w:val="0"/>
          <w:szCs w:val="21"/>
        </w:rPr>
      </w:pPr>
    </w:p>
    <w:p w:rsidR="001A10DD" w:rsidRDefault="001A10DD" w:rsidP="001A10DD">
      <w:pPr>
        <w:pStyle w:val="a6"/>
        <w:numPr>
          <w:ilvl w:val="0"/>
          <w:numId w:val="1"/>
        </w:numPr>
        <w:ind w:leftChars="100" w:left="630" w:hangingChars="20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玻璃幕墙可开启面积比例：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49"/>
        <w:gridCol w:w="1149"/>
        <w:gridCol w:w="1150"/>
        <w:gridCol w:w="1179"/>
        <w:gridCol w:w="1181"/>
        <w:gridCol w:w="1050"/>
        <w:gridCol w:w="1051"/>
        <w:gridCol w:w="1753"/>
      </w:tblGrid>
      <w:tr w:rsidR="001A10DD" w:rsidTr="00D320F1">
        <w:trPr>
          <w:cantSplit/>
          <w:trHeight w:val="285"/>
          <w:jc w:val="center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建筑编号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幕墙编号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幕墙类型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幕墙尺寸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数量（个）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可开启面积</w:t>
            </w:r>
          </w:p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（m</w:t>
            </w:r>
            <w:r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可开启面积比例（%）</w:t>
            </w: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宽度（m）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高度（m）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cantSplit/>
          <w:trHeight w:val="285"/>
          <w:jc w:val="center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A10DD" w:rsidRDefault="001A10DD" w:rsidP="001A10DD">
      <w:pPr>
        <w:pStyle w:val="a6"/>
        <w:ind w:leftChars="-100" w:left="-210" w:firstLineChars="200" w:firstLine="42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bCs/>
          <w:szCs w:val="21"/>
        </w:rPr>
        <w:t>注：1、当建筑层数大于18层时，仅统计18层及以下的外窗。</w:t>
      </w:r>
    </w:p>
    <w:p w:rsidR="001A10DD" w:rsidRDefault="001A10DD" w:rsidP="001A10DD">
      <w:pPr>
        <w:pStyle w:val="a6"/>
        <w:ind w:left="0" w:firstLineChars="300" w:firstLine="63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2、有严格的室内温湿度要求、不宜进行自然通风的房间，其面积不计入。</w:t>
      </w:r>
    </w:p>
    <w:p w:rsidR="001A10DD" w:rsidRDefault="001A10DD" w:rsidP="001A10D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1A10DD" w:rsidRDefault="001A10DD" w:rsidP="001A10DD">
      <w:pPr>
        <w:pStyle w:val="1"/>
        <w:spacing w:line="288" w:lineRule="auto"/>
        <w:ind w:firstLineChars="0" w:firstLine="0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3、证明材料</w:t>
      </w:r>
    </w:p>
    <w:p w:rsidR="001A10DD" w:rsidRDefault="001A10DD" w:rsidP="001A10DD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170"/>
        <w:gridCol w:w="3759"/>
        <w:gridCol w:w="1410"/>
        <w:gridCol w:w="845"/>
        <w:gridCol w:w="814"/>
        <w:gridCol w:w="796"/>
      </w:tblGrid>
      <w:tr w:rsidR="001A10DD" w:rsidTr="00D320F1">
        <w:trPr>
          <w:trHeight w:val="540"/>
        </w:trPr>
        <w:tc>
          <w:tcPr>
            <w:tcW w:w="720" w:type="dxa"/>
            <w:shd w:val="clear" w:color="DBE5F1" w:fill="DBE5F1"/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0" w:type="dxa"/>
            <w:shd w:val="clear" w:color="DBE5F1" w:fill="DBE5F1"/>
            <w:vAlign w:val="center"/>
          </w:tcPr>
          <w:p w:rsidR="001A10DD" w:rsidRDefault="001A10D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759" w:type="dxa"/>
            <w:shd w:val="clear" w:color="DBE5F1" w:fill="DBE5F1"/>
            <w:vAlign w:val="center"/>
          </w:tcPr>
          <w:p w:rsidR="001A10DD" w:rsidRDefault="001A10D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410" w:type="dxa"/>
            <w:shd w:val="clear" w:color="DBE5F1" w:fill="DBE5F1"/>
            <w:vAlign w:val="center"/>
          </w:tcPr>
          <w:p w:rsidR="001A10DD" w:rsidRDefault="001A10D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45" w:type="dxa"/>
            <w:shd w:val="clear" w:color="DBE5F1" w:fill="DBE5F1"/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14" w:type="dxa"/>
            <w:shd w:val="clear" w:color="DBE5F1" w:fill="DBE5F1"/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96" w:type="dxa"/>
            <w:shd w:val="clear" w:color="DBE5F1" w:fill="DBE5F1"/>
            <w:vAlign w:val="center"/>
          </w:tcPr>
          <w:p w:rsidR="001A10DD" w:rsidRDefault="001A10D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1A10DD" w:rsidTr="00D320F1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建筑立面图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应体现外窗设置情况、详细尺寸说明并与详图吻合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外窗可开启面积比例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应体现幕墙设置情况、详细尺寸说明并与详图吻合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幕墙可开启面积比例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建筑门窗表及门窗详图</w:t>
            </w:r>
          </w:p>
        </w:tc>
        <w:tc>
          <w:tcPr>
            <w:tcW w:w="3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应体现幕墙设置情况、详细尺寸说明、开启方式，并与详图吻合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幕墙可开启面积比例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应体现外窗设置情况、详细尺寸说明、开启方式，并与详图吻合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外窗可开启面积比例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外窗/幕墙可开启面积比例计算书</w:t>
            </w:r>
          </w:p>
        </w:tc>
        <w:tc>
          <w:tcPr>
            <w:tcW w:w="37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应包括详细的外窗/幕墙的可开启面积比例（指标要求与自评一致）统计，并与图纸吻合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幕墙可开启面积比例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7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外窗可开启面积比例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建筑平面图 </w:t>
            </w:r>
          </w:p>
        </w:tc>
        <w:tc>
          <w:tcPr>
            <w:tcW w:w="3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应体现外窗设置情况、详细尺寸说明并与详图吻合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外窗可开启面积比例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应体现幕墙设置情况、详细尺寸说明并与详图吻合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幕墙可开启面积比例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trHeight w:val="27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3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应体现建筑层数，18层以上部分本条不参评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5.2.2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10DD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3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应体现建筑内部特殊的室内温湿度要求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5.2.2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Default="001A10D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8A4897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897" w:rsidRDefault="008A4897" w:rsidP="001A10DD">
      <w:r>
        <w:separator/>
      </w:r>
    </w:p>
  </w:endnote>
  <w:endnote w:type="continuationSeparator" w:id="0">
    <w:p w:rsidR="008A4897" w:rsidRDefault="008A4897" w:rsidP="001A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897" w:rsidRDefault="008A4897" w:rsidP="001A10DD">
      <w:r>
        <w:separator/>
      </w:r>
    </w:p>
  </w:footnote>
  <w:footnote w:type="continuationSeparator" w:id="0">
    <w:p w:rsidR="008A4897" w:rsidRDefault="008A4897" w:rsidP="001A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00000017"/>
    <w:lvl w:ilvl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67"/>
    <w:rsid w:val="001A10DD"/>
    <w:rsid w:val="00546C8E"/>
    <w:rsid w:val="008A4897"/>
    <w:rsid w:val="00B46C65"/>
    <w:rsid w:val="00D9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A87580-5FAA-49DE-B721-5EBB9C97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10D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A10DD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0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0DD"/>
    <w:rPr>
      <w:sz w:val="18"/>
      <w:szCs w:val="18"/>
    </w:rPr>
  </w:style>
  <w:style w:type="character" w:customStyle="1" w:styleId="3Char">
    <w:name w:val="标题 3 Char"/>
    <w:basedOn w:val="a0"/>
    <w:link w:val="3"/>
    <w:rsid w:val="001A10DD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1A10DD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1A10DD"/>
    <w:pPr>
      <w:ind w:firstLineChars="200" w:firstLine="420"/>
    </w:pPr>
  </w:style>
  <w:style w:type="paragraph" w:customStyle="1" w:styleId="a6">
    <w:name w:val="技术要点"/>
    <w:basedOn w:val="1"/>
    <w:rsid w:val="001A10DD"/>
    <w:pPr>
      <w:spacing w:line="288" w:lineRule="auto"/>
      <w:ind w:left="790" w:firstLineChars="0" w:firstLine="0"/>
    </w:pPr>
    <w:rPr>
      <w:b/>
    </w:rPr>
  </w:style>
  <w:style w:type="paragraph" w:customStyle="1" w:styleId="a5">
    <w:name w:val="条文"/>
    <w:basedOn w:val="a"/>
    <w:link w:val="Char1"/>
    <w:rsid w:val="001A10DD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1A10D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>Microsoft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2</cp:revision>
  <dcterms:created xsi:type="dcterms:W3CDTF">2018-07-04T08:16:00Z</dcterms:created>
  <dcterms:modified xsi:type="dcterms:W3CDTF">2018-07-04T08:17:00Z</dcterms:modified>
</cp:coreProperties>
</file>