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F9" w:rsidRDefault="000902F9" w:rsidP="000902F9">
      <w:pPr>
        <w:pStyle w:val="3"/>
        <w:pageBreakBefore/>
        <w:rPr>
          <w:b/>
        </w:rPr>
      </w:pPr>
      <w:r>
        <w:rPr>
          <w:rFonts w:hint="eastAsia"/>
          <w:b/>
        </w:rPr>
        <w:t>6.2.10合理使用非传统水源。（评价总分值15分）</w:t>
      </w:r>
    </w:p>
    <w:p w:rsidR="000902F9" w:rsidRDefault="000902F9" w:rsidP="000902F9">
      <w:pPr>
        <w:spacing w:line="288" w:lineRule="auto"/>
        <w:rPr>
          <w:rFonts w:ascii="宋体" w:hAnsi="宋体" w:cs="宋体"/>
          <w:kern w:val="0"/>
          <w:szCs w:val="21"/>
        </w:rPr>
      </w:pPr>
    </w:p>
    <w:p w:rsidR="000902F9" w:rsidRDefault="000902F9" w:rsidP="000902F9">
      <w:pPr>
        <w:spacing w:line="288" w:lineRule="auto"/>
        <w:rPr>
          <w:rFonts w:ascii="宋体" w:hAnsi="宋体" w:cs="宋体"/>
          <w:b/>
          <w:bCs/>
          <w:kern w:val="0"/>
          <w:szCs w:val="21"/>
        </w:rPr>
      </w:pPr>
      <w:r>
        <w:rPr>
          <w:rFonts w:ascii="宋体" w:hAnsi="宋体" w:cs="宋体" w:hint="eastAsia"/>
          <w:b/>
          <w:bCs/>
          <w:kern w:val="0"/>
          <w:szCs w:val="21"/>
        </w:rPr>
        <w:t>参评情况</w:t>
      </w:r>
    </w:p>
    <w:p w:rsidR="000902F9" w:rsidRDefault="000902F9" w:rsidP="000902F9">
      <w:pPr>
        <w:spacing w:line="288" w:lineRule="auto"/>
        <w:rPr>
          <w:rFonts w:ascii="宋体" w:hAnsi="宋体" w:cs="宋体"/>
          <w:kern w:val="0"/>
          <w:szCs w:val="21"/>
        </w:rPr>
      </w:pPr>
      <w:r>
        <w:rPr>
          <w:rFonts w:ascii="宋体" w:hAnsi="宋体" w:cs="宋体" w:hint="eastAsia"/>
          <w:kern w:val="0"/>
          <w:szCs w:val="21"/>
        </w:rPr>
        <w:t>□参评□不参评，原因（□</w:t>
      </w:r>
      <w:r>
        <w:rPr>
          <w:rFonts w:ascii="宋体" w:hAnsi="宋体" w:cs="宋体" w:hint="eastAsia"/>
          <w:szCs w:val="21"/>
          <w:lang w:val="zh-CN"/>
        </w:rPr>
        <w:t>养老院、幼儿园、医院类建筑</w:t>
      </w:r>
      <w:r>
        <w:rPr>
          <w:rFonts w:ascii="宋体" w:hAnsi="宋体" w:cs="宋体" w:hint="eastAsia"/>
          <w:kern w:val="0"/>
          <w:szCs w:val="21"/>
        </w:rPr>
        <w:t>、□</w:t>
      </w:r>
      <w:r>
        <w:rPr>
          <w:rFonts w:ascii="宋体" w:hAnsi="宋体" w:cs="宋体" w:hint="eastAsia"/>
          <w:szCs w:val="21"/>
          <w:lang w:val="zh-CN"/>
        </w:rPr>
        <w:t>项目周边无市政再生水利用条件且建筑可回用水量小于100m</w:t>
      </w:r>
      <w:r>
        <w:rPr>
          <w:rFonts w:ascii="宋体" w:hAnsi="宋体" w:cs="宋体" w:hint="eastAsia"/>
          <w:szCs w:val="21"/>
          <w:vertAlign w:val="superscript"/>
          <w:lang w:val="zh-CN"/>
        </w:rPr>
        <w:t>3</w:t>
      </w:r>
      <w:r>
        <w:rPr>
          <w:rFonts w:ascii="宋体" w:hAnsi="宋体" w:cs="宋体" w:hint="eastAsia"/>
          <w:szCs w:val="21"/>
          <w:lang w:val="zh-CN"/>
        </w:rPr>
        <w:t>/d</w:t>
      </w:r>
      <w:r>
        <w:rPr>
          <w:rFonts w:ascii="宋体" w:hAnsi="宋体" w:cs="宋体" w:hint="eastAsia"/>
          <w:kern w:val="0"/>
          <w:szCs w:val="21"/>
        </w:rPr>
        <w:t>、□其他）</w:t>
      </w:r>
    </w:p>
    <w:p w:rsidR="000902F9" w:rsidRDefault="000902F9" w:rsidP="000902F9">
      <w:pPr>
        <w:spacing w:line="288" w:lineRule="auto"/>
        <w:rPr>
          <w:rFonts w:ascii="宋体" w:hAnsi="宋体" w:cs="宋体"/>
          <w:kern w:val="0"/>
          <w:szCs w:val="21"/>
        </w:rPr>
      </w:pPr>
    </w:p>
    <w:p w:rsidR="000902F9" w:rsidRDefault="000902F9" w:rsidP="000902F9">
      <w:pPr>
        <w:spacing w:line="288" w:lineRule="auto"/>
        <w:rPr>
          <w:rFonts w:ascii="宋体" w:hAnsi="宋体" w:cs="宋体"/>
          <w:b/>
          <w:szCs w:val="21"/>
          <w:lang w:val="zh-CN"/>
        </w:rPr>
      </w:pPr>
      <w:r>
        <w:rPr>
          <w:rFonts w:ascii="宋体" w:hAnsi="宋体" w:cs="宋体" w:hint="eastAsia"/>
          <w:b/>
          <w:szCs w:val="21"/>
        </w:rPr>
        <w:t>1、</w:t>
      </w:r>
      <w:r>
        <w:rPr>
          <w:rFonts w:ascii="宋体" w:hAnsi="宋体" w:cs="宋体" w:hint="eastAsia"/>
          <w:b/>
          <w:szCs w:val="21"/>
          <w:lang w:val="zh-CN"/>
        </w:rPr>
        <w:t>得分自评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210"/>
        <w:gridCol w:w="1184"/>
        <w:gridCol w:w="814"/>
        <w:gridCol w:w="997"/>
        <w:gridCol w:w="882"/>
        <w:gridCol w:w="883"/>
        <w:gridCol w:w="1565"/>
        <w:gridCol w:w="1295"/>
      </w:tblGrid>
      <w:tr w:rsidR="000902F9" w:rsidTr="005451D5">
        <w:trPr>
          <w:jc w:val="center"/>
        </w:trPr>
        <w:tc>
          <w:tcPr>
            <w:tcW w:w="6654" w:type="dxa"/>
            <w:gridSpan w:val="7"/>
            <w:vAlign w:val="center"/>
          </w:tcPr>
          <w:p w:rsidR="000902F9" w:rsidRDefault="000902F9" w:rsidP="005451D5">
            <w:pPr>
              <w:spacing w:line="288" w:lineRule="auto"/>
              <w:jc w:val="center"/>
              <w:rPr>
                <w:rFonts w:ascii="宋体" w:hAnsi="宋体" w:cs="宋体"/>
                <w:szCs w:val="21"/>
              </w:rPr>
            </w:pPr>
            <w:r>
              <w:rPr>
                <w:rFonts w:ascii="宋体" w:hAnsi="宋体" w:cs="宋体" w:hint="eastAsia"/>
                <w:bCs/>
                <w:szCs w:val="21"/>
                <w:lang w:val="zh-CN"/>
              </w:rPr>
              <w:t>评价内容</w:t>
            </w:r>
          </w:p>
        </w:tc>
        <w:tc>
          <w:tcPr>
            <w:tcW w:w="1565" w:type="dxa"/>
            <w:vMerge w:val="restart"/>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lang w:val="zh-CN"/>
              </w:rPr>
              <w:t>评价分值（分）</w:t>
            </w:r>
          </w:p>
        </w:tc>
        <w:tc>
          <w:tcPr>
            <w:tcW w:w="1295" w:type="dxa"/>
            <w:vMerge w:val="restart"/>
            <w:vAlign w:val="center"/>
          </w:tcPr>
          <w:p w:rsidR="000902F9" w:rsidRDefault="000902F9" w:rsidP="005451D5">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r>
      <w:tr w:rsidR="000902F9" w:rsidTr="005451D5">
        <w:trPr>
          <w:trHeight w:val="90"/>
          <w:jc w:val="center"/>
        </w:trPr>
        <w:tc>
          <w:tcPr>
            <w:tcW w:w="684" w:type="dxa"/>
            <w:vMerge w:val="restart"/>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建筑</w:t>
            </w:r>
          </w:p>
          <w:p w:rsidR="000902F9" w:rsidRDefault="000902F9" w:rsidP="005451D5">
            <w:pPr>
              <w:spacing w:line="288" w:lineRule="auto"/>
              <w:jc w:val="center"/>
              <w:rPr>
                <w:rFonts w:ascii="宋体" w:hAnsi="宋体" w:cs="宋体"/>
                <w:bCs/>
                <w:szCs w:val="21"/>
              </w:rPr>
            </w:pPr>
            <w:r>
              <w:rPr>
                <w:rFonts w:ascii="宋体" w:hAnsi="宋体" w:cs="宋体" w:hint="eastAsia"/>
                <w:bCs/>
                <w:szCs w:val="21"/>
              </w:rPr>
              <w:t>类型</w:t>
            </w:r>
          </w:p>
        </w:tc>
        <w:tc>
          <w:tcPr>
            <w:tcW w:w="2394" w:type="dxa"/>
            <w:gridSpan w:val="2"/>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非传统水源利用率</w:t>
            </w:r>
          </w:p>
        </w:tc>
        <w:tc>
          <w:tcPr>
            <w:tcW w:w="3576" w:type="dxa"/>
            <w:gridSpan w:val="4"/>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非传统水源利用措施</w:t>
            </w:r>
          </w:p>
        </w:tc>
        <w:tc>
          <w:tcPr>
            <w:tcW w:w="1565" w:type="dxa"/>
            <w:vMerge/>
            <w:vAlign w:val="center"/>
          </w:tcPr>
          <w:p w:rsidR="000902F9" w:rsidRDefault="000902F9" w:rsidP="005451D5">
            <w:pPr>
              <w:spacing w:line="288" w:lineRule="auto"/>
              <w:jc w:val="center"/>
              <w:rPr>
                <w:rFonts w:ascii="宋体" w:hAnsi="宋体" w:cs="宋体"/>
                <w:bCs/>
                <w:szCs w:val="21"/>
              </w:rPr>
            </w:pPr>
          </w:p>
        </w:tc>
        <w:tc>
          <w:tcPr>
            <w:tcW w:w="1295" w:type="dxa"/>
            <w:vMerge/>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有市政再生水供应</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无市政再生水供应</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室内冲厕</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室外绿化灌溉</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道路浇洒</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洗车用水</w:t>
            </w:r>
          </w:p>
        </w:tc>
        <w:tc>
          <w:tcPr>
            <w:tcW w:w="1565" w:type="dxa"/>
            <w:vMerge/>
            <w:vAlign w:val="center"/>
          </w:tcPr>
          <w:p w:rsidR="000902F9" w:rsidRDefault="000902F9" w:rsidP="005451D5">
            <w:pPr>
              <w:spacing w:line="288" w:lineRule="auto"/>
              <w:jc w:val="center"/>
              <w:rPr>
                <w:rFonts w:ascii="宋体" w:hAnsi="宋体" w:cs="宋体"/>
                <w:bCs/>
                <w:szCs w:val="21"/>
              </w:rPr>
            </w:pPr>
          </w:p>
        </w:tc>
        <w:tc>
          <w:tcPr>
            <w:tcW w:w="1295" w:type="dxa"/>
            <w:vMerge/>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restart"/>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住宅</w:t>
            </w: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8.0%</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4.0%</w:t>
            </w:r>
          </w:p>
        </w:tc>
        <w:tc>
          <w:tcPr>
            <w:tcW w:w="814" w:type="dxa"/>
          </w:tcPr>
          <w:p w:rsidR="000902F9" w:rsidRDefault="000902F9" w:rsidP="005451D5">
            <w:pPr>
              <w:spacing w:line="288" w:lineRule="auto"/>
              <w:jc w:val="center"/>
              <w:rPr>
                <w:rFonts w:ascii="宋体" w:hAnsi="宋体" w:cs="宋体"/>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5</w:t>
            </w:r>
          </w:p>
        </w:tc>
        <w:tc>
          <w:tcPr>
            <w:tcW w:w="1295" w:type="dxa"/>
            <w:vMerge w:val="restart"/>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8.0%</w:t>
            </w:r>
          </w:p>
        </w:tc>
        <w:tc>
          <w:tcPr>
            <w:tcW w:w="814" w:type="dxa"/>
          </w:tcPr>
          <w:p w:rsidR="000902F9" w:rsidRDefault="000902F9" w:rsidP="005451D5">
            <w:pPr>
              <w:spacing w:line="288" w:lineRule="auto"/>
              <w:jc w:val="center"/>
              <w:rPr>
                <w:rFonts w:ascii="宋体" w:hAnsi="宋体" w:cs="宋体"/>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7</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30.0%</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30.0%</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15</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restart"/>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办公</w:t>
            </w: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10.0%</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14" w:type="dxa"/>
          </w:tcPr>
          <w:p w:rsidR="000902F9" w:rsidRDefault="000902F9" w:rsidP="005451D5">
            <w:pPr>
              <w:spacing w:line="288" w:lineRule="auto"/>
              <w:jc w:val="center"/>
              <w:rPr>
                <w:rFonts w:ascii="宋体" w:hAnsi="宋体" w:cs="宋体"/>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5</w:t>
            </w:r>
          </w:p>
        </w:tc>
        <w:tc>
          <w:tcPr>
            <w:tcW w:w="1295" w:type="dxa"/>
            <w:vMerge w:val="restart"/>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8.0%</w:t>
            </w:r>
          </w:p>
        </w:tc>
        <w:tc>
          <w:tcPr>
            <w:tcW w:w="814" w:type="dxa"/>
          </w:tcPr>
          <w:p w:rsidR="000902F9" w:rsidRDefault="000902F9" w:rsidP="005451D5">
            <w:pPr>
              <w:spacing w:line="288" w:lineRule="auto"/>
              <w:jc w:val="center"/>
              <w:rPr>
                <w:rFonts w:ascii="宋体" w:hAnsi="宋体" w:cs="宋体"/>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10</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50.0%</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10.0%</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15</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restart"/>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商店</w:t>
            </w: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3.0%</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2</w:t>
            </w:r>
          </w:p>
        </w:tc>
        <w:tc>
          <w:tcPr>
            <w:tcW w:w="1295" w:type="dxa"/>
            <w:vMerge w:val="restart"/>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2.5%</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10</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50.0%</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3.0%</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15</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restart"/>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旅馆</w:t>
            </w: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2.0%</w:t>
            </w:r>
          </w:p>
        </w:tc>
        <w:tc>
          <w:tcPr>
            <w:tcW w:w="1184" w:type="dxa"/>
          </w:tcPr>
          <w:p w:rsidR="000902F9" w:rsidRDefault="000902F9" w:rsidP="005451D5">
            <w:pPr>
              <w:spacing w:line="288" w:lineRule="auto"/>
              <w:jc w:val="center"/>
              <w:rPr>
                <w:rFonts w:ascii="宋体" w:hAnsi="宋体" w:cs="宋体"/>
                <w:szCs w:val="21"/>
              </w:rPr>
            </w:pPr>
            <w:r>
              <w:rPr>
                <w:rFonts w:ascii="宋体" w:hAnsi="宋体" w:cs="宋体" w:hint="eastAsia"/>
                <w:bCs/>
                <w:szCs w:val="21"/>
              </w:rPr>
              <w:t>—</w:t>
            </w:r>
          </w:p>
        </w:tc>
        <w:tc>
          <w:tcPr>
            <w:tcW w:w="814" w:type="dxa"/>
          </w:tcPr>
          <w:p w:rsidR="000902F9" w:rsidRDefault="000902F9" w:rsidP="005451D5">
            <w:pPr>
              <w:spacing w:line="288" w:lineRule="auto"/>
              <w:jc w:val="center"/>
              <w:rPr>
                <w:rFonts w:ascii="宋体" w:hAnsi="宋体" w:cs="宋体"/>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2</w:t>
            </w:r>
          </w:p>
        </w:tc>
        <w:tc>
          <w:tcPr>
            <w:tcW w:w="1295" w:type="dxa"/>
            <w:vMerge w:val="restart"/>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1.0%</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10</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1210"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12.0%</w:t>
            </w:r>
          </w:p>
        </w:tc>
        <w:tc>
          <w:tcPr>
            <w:tcW w:w="118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2.0%</w:t>
            </w:r>
          </w:p>
        </w:tc>
        <w:tc>
          <w:tcPr>
            <w:tcW w:w="814"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997"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2"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883"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15</w:t>
            </w:r>
          </w:p>
        </w:tc>
        <w:tc>
          <w:tcPr>
            <w:tcW w:w="1295" w:type="dxa"/>
            <w:vMerge/>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restart"/>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其他</w:t>
            </w:r>
          </w:p>
        </w:tc>
        <w:tc>
          <w:tcPr>
            <w:tcW w:w="5970" w:type="dxa"/>
            <w:gridSpan w:val="6"/>
            <w:vAlign w:val="center"/>
          </w:tcPr>
          <w:p w:rsidR="000902F9" w:rsidRDefault="000902F9" w:rsidP="005451D5">
            <w:pPr>
              <w:spacing w:line="288" w:lineRule="auto"/>
              <w:jc w:val="left"/>
              <w:rPr>
                <w:rFonts w:ascii="宋体" w:hAnsi="宋体" w:cs="宋体"/>
                <w:bCs/>
                <w:szCs w:val="21"/>
              </w:rPr>
            </w:pPr>
            <w:r>
              <w:rPr>
                <w:rFonts w:ascii="宋体" w:hAnsi="宋体" w:cs="宋体" w:hint="eastAsia"/>
                <w:bCs/>
                <w:szCs w:val="21"/>
              </w:rPr>
              <w:t>绿化灌溉、道路冲洗、洗车用水采用非传统水源的用水量占其总用水量的比例不低于80%</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7</w:t>
            </w:r>
          </w:p>
        </w:tc>
        <w:tc>
          <w:tcPr>
            <w:tcW w:w="1295" w:type="dxa"/>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84" w:type="dxa"/>
            <w:vMerge/>
            <w:vAlign w:val="center"/>
          </w:tcPr>
          <w:p w:rsidR="000902F9" w:rsidRDefault="000902F9" w:rsidP="005451D5">
            <w:pPr>
              <w:spacing w:line="288" w:lineRule="auto"/>
              <w:jc w:val="center"/>
              <w:rPr>
                <w:rFonts w:ascii="宋体" w:hAnsi="宋体" w:cs="宋体"/>
                <w:bCs/>
                <w:szCs w:val="21"/>
              </w:rPr>
            </w:pPr>
          </w:p>
        </w:tc>
        <w:tc>
          <w:tcPr>
            <w:tcW w:w="5970" w:type="dxa"/>
            <w:gridSpan w:val="6"/>
            <w:vAlign w:val="center"/>
          </w:tcPr>
          <w:p w:rsidR="000902F9" w:rsidRDefault="000902F9" w:rsidP="005451D5">
            <w:pPr>
              <w:spacing w:line="288" w:lineRule="auto"/>
              <w:jc w:val="left"/>
              <w:rPr>
                <w:rFonts w:ascii="宋体" w:hAnsi="宋体" w:cs="宋体"/>
                <w:bCs/>
                <w:szCs w:val="21"/>
              </w:rPr>
            </w:pPr>
            <w:r>
              <w:rPr>
                <w:rFonts w:ascii="宋体" w:hAnsi="宋体" w:cs="宋体" w:hint="eastAsia"/>
                <w:bCs/>
                <w:szCs w:val="21"/>
              </w:rPr>
              <w:t>冲厕采用非传统水源的用水量占其用水量的比例不低于50%，得8分</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8</w:t>
            </w:r>
          </w:p>
        </w:tc>
        <w:tc>
          <w:tcPr>
            <w:tcW w:w="1295" w:type="dxa"/>
            <w:vAlign w:val="center"/>
          </w:tcPr>
          <w:p w:rsidR="000902F9" w:rsidRDefault="000902F9" w:rsidP="005451D5">
            <w:pPr>
              <w:spacing w:line="288" w:lineRule="auto"/>
              <w:jc w:val="center"/>
              <w:rPr>
                <w:rFonts w:ascii="宋体" w:hAnsi="宋体" w:cs="宋体"/>
                <w:bCs/>
                <w:szCs w:val="21"/>
              </w:rPr>
            </w:pPr>
          </w:p>
        </w:tc>
      </w:tr>
      <w:tr w:rsidR="000902F9" w:rsidTr="005451D5">
        <w:trPr>
          <w:jc w:val="center"/>
        </w:trPr>
        <w:tc>
          <w:tcPr>
            <w:tcW w:w="6654" w:type="dxa"/>
            <w:gridSpan w:val="7"/>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合计</w:t>
            </w:r>
          </w:p>
        </w:tc>
        <w:tc>
          <w:tcPr>
            <w:tcW w:w="1565" w:type="dxa"/>
            <w:vAlign w:val="center"/>
          </w:tcPr>
          <w:p w:rsidR="000902F9" w:rsidRDefault="000902F9" w:rsidP="005451D5">
            <w:pPr>
              <w:spacing w:line="288" w:lineRule="auto"/>
              <w:jc w:val="center"/>
              <w:rPr>
                <w:rFonts w:ascii="宋体" w:hAnsi="宋体" w:cs="宋体"/>
                <w:bCs/>
                <w:szCs w:val="21"/>
              </w:rPr>
            </w:pPr>
            <w:r>
              <w:rPr>
                <w:rFonts w:ascii="宋体" w:hAnsi="宋体" w:cs="宋体" w:hint="eastAsia"/>
                <w:bCs/>
                <w:szCs w:val="21"/>
              </w:rPr>
              <w:t>15</w:t>
            </w:r>
          </w:p>
        </w:tc>
        <w:tc>
          <w:tcPr>
            <w:tcW w:w="1295" w:type="dxa"/>
            <w:vAlign w:val="center"/>
          </w:tcPr>
          <w:p w:rsidR="000902F9" w:rsidRDefault="000902F9" w:rsidP="005451D5">
            <w:pPr>
              <w:spacing w:line="288" w:lineRule="auto"/>
              <w:jc w:val="center"/>
              <w:rPr>
                <w:rFonts w:ascii="宋体" w:hAnsi="宋体" w:cs="宋体"/>
                <w:bCs/>
                <w:szCs w:val="21"/>
              </w:rPr>
            </w:pPr>
          </w:p>
        </w:tc>
      </w:tr>
    </w:tbl>
    <w:p w:rsidR="000902F9" w:rsidRDefault="000902F9" w:rsidP="000902F9">
      <w:pPr>
        <w:spacing w:line="288" w:lineRule="auto"/>
        <w:jc w:val="left"/>
        <w:rPr>
          <w:rFonts w:ascii="宋体" w:hAnsi="宋体" w:cs="宋体"/>
          <w:bCs/>
          <w:szCs w:val="21"/>
        </w:rPr>
      </w:pPr>
      <w:r>
        <w:rPr>
          <w:rFonts w:ascii="宋体" w:hAnsi="宋体" w:cs="宋体" w:hint="eastAsia"/>
          <w:bCs/>
          <w:szCs w:val="21"/>
        </w:rPr>
        <w:t>注：“●”为有市政再生水供应时的要求；“○”为无市政再生水供应时的要求。</w:t>
      </w:r>
    </w:p>
    <w:p w:rsidR="000902F9" w:rsidRDefault="000902F9" w:rsidP="000902F9">
      <w:pPr>
        <w:spacing w:line="288" w:lineRule="auto"/>
        <w:rPr>
          <w:rFonts w:ascii="宋体" w:hAnsi="宋体" w:cs="宋体"/>
          <w:kern w:val="0"/>
          <w:szCs w:val="21"/>
        </w:rPr>
      </w:pPr>
    </w:p>
    <w:p w:rsidR="000902F9" w:rsidRDefault="000902F9" w:rsidP="000902F9">
      <w:pPr>
        <w:spacing w:line="288" w:lineRule="auto"/>
        <w:rPr>
          <w:rFonts w:ascii="宋体" w:hAnsi="宋体" w:cs="宋体"/>
          <w:b/>
          <w:szCs w:val="21"/>
          <w:lang w:val="zh-CN"/>
        </w:rPr>
      </w:pPr>
      <w:r>
        <w:rPr>
          <w:rFonts w:ascii="宋体" w:hAnsi="宋体" w:cs="宋体" w:hint="eastAsia"/>
          <w:b/>
          <w:szCs w:val="21"/>
        </w:rPr>
        <w:t>2、</w:t>
      </w:r>
      <w:r>
        <w:rPr>
          <w:rFonts w:ascii="宋体" w:hAnsi="宋体" w:cs="宋体" w:hint="eastAsia"/>
          <w:b/>
          <w:szCs w:val="21"/>
          <w:lang w:val="zh-CN"/>
        </w:rPr>
        <w:t>评价要点</w:t>
      </w:r>
    </w:p>
    <w:p w:rsidR="000902F9" w:rsidRDefault="000902F9" w:rsidP="000902F9">
      <w:pPr>
        <w:pStyle w:val="1"/>
        <w:numPr>
          <w:ilvl w:val="0"/>
          <w:numId w:val="1"/>
        </w:numPr>
        <w:spacing w:line="288" w:lineRule="auto"/>
        <w:ind w:firstLineChars="0"/>
        <w:rPr>
          <w:rFonts w:ascii="宋体" w:hAnsi="宋体" w:cs="宋体"/>
          <w:szCs w:val="21"/>
        </w:rPr>
      </w:pPr>
      <w:r>
        <w:rPr>
          <w:rFonts w:ascii="宋体" w:hAnsi="宋体" w:cs="宋体" w:hint="eastAsia"/>
          <w:szCs w:val="21"/>
        </w:rPr>
        <w:t>非传统水源</w:t>
      </w:r>
    </w:p>
    <w:p w:rsidR="000902F9" w:rsidRDefault="000902F9" w:rsidP="000902F9">
      <w:pPr>
        <w:spacing w:line="288" w:lineRule="auto"/>
        <w:rPr>
          <w:rFonts w:ascii="宋体" w:hAnsi="宋体" w:cs="宋体"/>
          <w:szCs w:val="21"/>
        </w:rPr>
      </w:pPr>
      <w:r>
        <w:rPr>
          <w:rFonts w:ascii="宋体" w:hAnsi="宋体" w:cs="宋体" w:hint="eastAsia"/>
          <w:szCs w:val="21"/>
          <w:lang w:val="zh-CN"/>
        </w:rPr>
        <w:t>项目周边是否有市政再生水利用条件：</w:t>
      </w:r>
      <w:r>
        <w:rPr>
          <w:rFonts w:ascii="宋体" w:hAnsi="宋体" w:cs="宋体" w:hint="eastAsia"/>
          <w:szCs w:val="21"/>
        </w:rPr>
        <w:t>□</w:t>
      </w:r>
      <w:r>
        <w:rPr>
          <w:rFonts w:ascii="宋体" w:hAnsi="宋体" w:cs="宋体" w:hint="eastAsia"/>
          <w:szCs w:val="21"/>
          <w:lang w:val="zh-CN"/>
        </w:rPr>
        <w:t>是、</w:t>
      </w:r>
      <w:r>
        <w:rPr>
          <w:rFonts w:ascii="宋体" w:hAnsi="宋体" w:cs="宋体" w:hint="eastAsia"/>
          <w:szCs w:val="21"/>
        </w:rPr>
        <w:t>□</w:t>
      </w:r>
      <w:r>
        <w:rPr>
          <w:rFonts w:ascii="宋体" w:hAnsi="宋体" w:cs="宋体" w:hint="eastAsia"/>
          <w:szCs w:val="21"/>
          <w:lang w:val="zh-CN"/>
        </w:rPr>
        <w:t>否</w:t>
      </w:r>
    </w:p>
    <w:p w:rsidR="000902F9" w:rsidRDefault="000902F9" w:rsidP="000902F9">
      <w:pPr>
        <w:spacing w:line="288" w:lineRule="auto"/>
        <w:rPr>
          <w:rFonts w:ascii="宋体" w:hAnsi="宋体" w:cs="宋体"/>
          <w:szCs w:val="21"/>
        </w:rPr>
      </w:pPr>
      <w:r>
        <w:rPr>
          <w:rFonts w:ascii="宋体" w:hAnsi="宋体" w:cs="宋体" w:hint="eastAsia"/>
          <w:szCs w:val="21"/>
        </w:rPr>
        <w:t>建筑可回用水量为：m</w:t>
      </w:r>
      <w:r>
        <w:rPr>
          <w:rFonts w:ascii="宋体" w:hAnsi="宋体" w:cs="宋体" w:hint="eastAsia"/>
          <w:szCs w:val="21"/>
          <w:vertAlign w:val="superscript"/>
        </w:rPr>
        <w:t>3</w:t>
      </w:r>
      <w:r>
        <w:rPr>
          <w:rFonts w:ascii="宋体" w:hAnsi="宋体" w:cs="宋体" w:hint="eastAsia"/>
          <w:szCs w:val="21"/>
        </w:rPr>
        <w:t>/d</w:t>
      </w:r>
    </w:p>
    <w:p w:rsidR="000902F9" w:rsidRDefault="000902F9" w:rsidP="000902F9">
      <w:pPr>
        <w:spacing w:line="288" w:lineRule="auto"/>
        <w:rPr>
          <w:rFonts w:ascii="宋体" w:hAnsi="宋体" w:cs="宋体"/>
          <w:szCs w:val="21"/>
        </w:rPr>
      </w:pPr>
      <w:r>
        <w:rPr>
          <w:rFonts w:ascii="宋体" w:hAnsi="宋体" w:cs="宋体" w:hint="eastAsia"/>
          <w:szCs w:val="21"/>
        </w:rPr>
        <w:t>项目采用非传统水源时，主要用途为：□</w:t>
      </w:r>
      <w:r>
        <w:rPr>
          <w:rFonts w:ascii="宋体" w:hAnsi="宋体" w:cs="宋体" w:hint="eastAsia"/>
          <w:bCs/>
          <w:szCs w:val="21"/>
        </w:rPr>
        <w:t>室内冲厕</w:t>
      </w:r>
      <w:r>
        <w:rPr>
          <w:rFonts w:ascii="宋体" w:hAnsi="宋体" w:cs="宋体" w:hint="eastAsia"/>
          <w:szCs w:val="21"/>
        </w:rPr>
        <w:t>、□</w:t>
      </w:r>
      <w:r>
        <w:rPr>
          <w:rFonts w:ascii="宋体" w:hAnsi="宋体" w:cs="宋体" w:hint="eastAsia"/>
          <w:bCs/>
          <w:szCs w:val="21"/>
        </w:rPr>
        <w:t>室外绿化灌溉</w:t>
      </w:r>
      <w:r>
        <w:rPr>
          <w:rFonts w:ascii="宋体" w:hAnsi="宋体" w:cs="宋体" w:hint="eastAsia"/>
          <w:szCs w:val="21"/>
        </w:rPr>
        <w:t>、□</w:t>
      </w:r>
      <w:r>
        <w:rPr>
          <w:rFonts w:ascii="宋体" w:hAnsi="宋体" w:cs="宋体" w:hint="eastAsia"/>
          <w:bCs/>
          <w:szCs w:val="21"/>
        </w:rPr>
        <w:t>道路浇洒</w:t>
      </w:r>
      <w:r>
        <w:rPr>
          <w:rFonts w:ascii="宋体" w:hAnsi="宋体" w:cs="宋体" w:hint="eastAsia"/>
          <w:szCs w:val="21"/>
        </w:rPr>
        <w:t>、□</w:t>
      </w:r>
      <w:r>
        <w:rPr>
          <w:rFonts w:ascii="宋体" w:hAnsi="宋体" w:cs="宋体" w:hint="eastAsia"/>
          <w:bCs/>
          <w:szCs w:val="21"/>
        </w:rPr>
        <w:t>洗车</w:t>
      </w:r>
      <w:r>
        <w:rPr>
          <w:rFonts w:ascii="宋体" w:hAnsi="宋体" w:cs="宋体" w:hint="eastAsia"/>
          <w:szCs w:val="21"/>
        </w:rPr>
        <w:t>、□其他</w:t>
      </w:r>
    </w:p>
    <w:p w:rsidR="000902F9" w:rsidRDefault="000902F9" w:rsidP="000902F9">
      <w:pPr>
        <w:spacing w:line="288" w:lineRule="auto"/>
        <w:rPr>
          <w:rFonts w:ascii="宋体" w:hAnsi="宋体" w:cs="宋体"/>
          <w:szCs w:val="21"/>
        </w:rPr>
      </w:pPr>
    </w:p>
    <w:p w:rsidR="000902F9" w:rsidRDefault="000902F9" w:rsidP="000902F9">
      <w:pPr>
        <w:spacing w:line="288" w:lineRule="auto"/>
        <w:rPr>
          <w:rFonts w:ascii="宋体" w:hAnsi="宋体" w:cs="宋体"/>
          <w:szCs w:val="21"/>
        </w:rPr>
      </w:pPr>
    </w:p>
    <w:p w:rsidR="000902F9" w:rsidRDefault="000902F9" w:rsidP="000902F9">
      <w:pPr>
        <w:spacing w:line="288" w:lineRule="auto"/>
        <w:jc w:val="center"/>
        <w:rPr>
          <w:rFonts w:ascii="宋体" w:hAnsi="宋体" w:cs="宋体"/>
          <w:kern w:val="0"/>
          <w:szCs w:val="21"/>
        </w:rPr>
      </w:pPr>
      <w:r>
        <w:rPr>
          <w:rFonts w:ascii="宋体" w:hAnsi="宋体" w:cs="宋体" w:hint="eastAsia"/>
          <w:kern w:val="0"/>
          <w:szCs w:val="21"/>
        </w:rPr>
        <w:t>非传统水源利用主要信息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780"/>
        <w:gridCol w:w="1943"/>
        <w:gridCol w:w="2267"/>
        <w:gridCol w:w="2267"/>
      </w:tblGrid>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r>
              <w:rPr>
                <w:rFonts w:ascii="宋体" w:hAnsi="宋体" w:cs="宋体" w:hint="eastAsia"/>
                <w:kern w:val="0"/>
                <w:szCs w:val="21"/>
              </w:rPr>
              <w:t>用水单元</w:t>
            </w: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r>
              <w:rPr>
                <w:rFonts w:ascii="宋体" w:hAnsi="宋体" w:cs="宋体" w:hint="eastAsia"/>
                <w:kern w:val="0"/>
                <w:szCs w:val="21"/>
              </w:rPr>
              <w:t>用水量（m</w:t>
            </w:r>
            <w:r>
              <w:rPr>
                <w:rFonts w:ascii="宋体" w:hAnsi="宋体" w:cs="宋体" w:hint="eastAsia"/>
                <w:kern w:val="0"/>
                <w:szCs w:val="21"/>
                <w:vertAlign w:val="superscript"/>
              </w:rPr>
              <w:t>3</w:t>
            </w:r>
            <w:r>
              <w:rPr>
                <w:rFonts w:ascii="宋体" w:hAnsi="宋体" w:cs="宋体" w:hint="eastAsia"/>
                <w:kern w:val="0"/>
                <w:szCs w:val="21"/>
              </w:rPr>
              <w:t>/a）</w:t>
            </w: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r>
              <w:rPr>
                <w:rFonts w:ascii="宋体" w:hAnsi="宋体" w:cs="宋体" w:hint="eastAsia"/>
                <w:kern w:val="0"/>
                <w:szCs w:val="21"/>
              </w:rPr>
              <w:t>非传统水源来源</w:t>
            </w: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r>
              <w:rPr>
                <w:rFonts w:ascii="宋体" w:hAnsi="宋体" w:cs="宋体" w:hint="eastAsia"/>
                <w:kern w:val="0"/>
                <w:szCs w:val="21"/>
              </w:rPr>
              <w:t>非传统水源用水量（m</w:t>
            </w:r>
            <w:r>
              <w:rPr>
                <w:rFonts w:ascii="宋体" w:hAnsi="宋体" w:cs="宋体" w:hint="eastAsia"/>
                <w:kern w:val="0"/>
                <w:szCs w:val="21"/>
                <w:vertAlign w:val="superscript"/>
              </w:rPr>
              <w:t>3</w:t>
            </w:r>
            <w:r>
              <w:rPr>
                <w:rFonts w:ascii="宋体" w:hAnsi="宋体" w:cs="宋体" w:hint="eastAsia"/>
                <w:kern w:val="0"/>
                <w:szCs w:val="21"/>
              </w:rPr>
              <w:t>/a）</w:t>
            </w: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r>
              <w:rPr>
                <w:rFonts w:ascii="宋体" w:hAnsi="宋体" w:cs="宋体" w:hint="eastAsia"/>
                <w:kern w:val="0"/>
                <w:szCs w:val="21"/>
              </w:rPr>
              <w:t>非传统水源利用率（%）</w:t>
            </w: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r w:rsidR="000902F9" w:rsidTr="005451D5">
        <w:trPr>
          <w:jc w:val="center"/>
        </w:trPr>
        <w:tc>
          <w:tcPr>
            <w:tcW w:w="125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r>
              <w:rPr>
                <w:rFonts w:ascii="宋体" w:hAnsi="宋体" w:cs="宋体" w:hint="eastAsia"/>
                <w:kern w:val="0"/>
                <w:szCs w:val="21"/>
              </w:rPr>
              <w:t>合计</w:t>
            </w:r>
          </w:p>
        </w:tc>
        <w:tc>
          <w:tcPr>
            <w:tcW w:w="1780"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0902F9" w:rsidRDefault="000902F9" w:rsidP="005451D5">
            <w:pPr>
              <w:spacing w:line="288" w:lineRule="auto"/>
              <w:jc w:val="center"/>
              <w:rPr>
                <w:rFonts w:ascii="宋体" w:hAnsi="宋体" w:cs="宋体"/>
                <w:kern w:val="0"/>
                <w:szCs w:val="21"/>
              </w:rPr>
            </w:pPr>
          </w:p>
        </w:tc>
      </w:tr>
    </w:tbl>
    <w:p w:rsidR="000902F9" w:rsidRDefault="000902F9" w:rsidP="000902F9">
      <w:pPr>
        <w:spacing w:line="288" w:lineRule="auto"/>
        <w:rPr>
          <w:rFonts w:ascii="宋体" w:hAnsi="宋体" w:cs="宋体"/>
          <w:szCs w:val="21"/>
        </w:rPr>
      </w:pPr>
      <w:r>
        <w:rPr>
          <w:rFonts w:ascii="宋体" w:hAnsi="宋体" w:cs="宋体" w:hint="eastAsia"/>
          <w:szCs w:val="21"/>
        </w:rPr>
        <w:t>□</w:t>
      </w:r>
      <w:r>
        <w:rPr>
          <w:rFonts w:ascii="宋体" w:hAnsi="宋体" w:cs="宋体" w:hint="eastAsia"/>
          <w:szCs w:val="21"/>
          <w:lang w:val="zh-CN"/>
        </w:rPr>
        <w:t>住宅、办公楼、商场、旅馆</w:t>
      </w:r>
      <w:r>
        <w:rPr>
          <w:rFonts w:ascii="宋体" w:hAnsi="宋体" w:cs="宋体" w:hint="eastAsia"/>
          <w:szCs w:val="21"/>
        </w:rPr>
        <w:t>建筑：非传统水源利用率%</w:t>
      </w:r>
    </w:p>
    <w:p w:rsidR="000902F9" w:rsidRDefault="000902F9" w:rsidP="000902F9">
      <w:pPr>
        <w:spacing w:line="288" w:lineRule="auto"/>
        <w:rPr>
          <w:rFonts w:ascii="宋体" w:hAnsi="宋体" w:cs="宋体"/>
          <w:szCs w:val="21"/>
        </w:rPr>
      </w:pPr>
      <w:r>
        <w:rPr>
          <w:rFonts w:ascii="宋体" w:hAnsi="宋体" w:cs="宋体" w:hint="eastAsia"/>
          <w:szCs w:val="21"/>
        </w:rPr>
        <w:t>□其他建筑：</w:t>
      </w:r>
      <w:r>
        <w:rPr>
          <w:rFonts w:ascii="宋体" w:hAnsi="宋体" w:cs="宋体" w:hint="eastAsia"/>
          <w:bCs/>
          <w:szCs w:val="21"/>
        </w:rPr>
        <w:t>绿化灌溉、道路冲洗、洗车用水采用非传统水源的用水量占其总用水量的比例</w:t>
      </w:r>
      <w:r>
        <w:rPr>
          <w:rFonts w:ascii="宋体" w:hAnsi="宋体" w:cs="宋体" w:hint="eastAsia"/>
          <w:szCs w:val="21"/>
        </w:rPr>
        <w:t>%</w:t>
      </w:r>
    </w:p>
    <w:p w:rsidR="000902F9" w:rsidRDefault="000902F9" w:rsidP="000902F9">
      <w:pPr>
        <w:spacing w:line="288" w:lineRule="auto"/>
        <w:rPr>
          <w:rFonts w:ascii="宋体" w:hAnsi="宋体" w:cs="宋体"/>
          <w:szCs w:val="21"/>
        </w:rPr>
      </w:pPr>
      <w:r>
        <w:rPr>
          <w:rFonts w:ascii="宋体" w:hAnsi="宋体" w:cs="宋体" w:hint="eastAsia"/>
          <w:szCs w:val="21"/>
        </w:rPr>
        <w:t>□其他建筑：</w:t>
      </w:r>
      <w:r>
        <w:rPr>
          <w:rFonts w:ascii="宋体" w:hAnsi="宋体" w:cs="宋体" w:hint="eastAsia"/>
          <w:bCs/>
          <w:szCs w:val="21"/>
        </w:rPr>
        <w:t>冲厕采用非传统水源的用水量占其用水量的比例</w:t>
      </w:r>
      <w:r>
        <w:rPr>
          <w:rFonts w:ascii="宋体" w:hAnsi="宋体" w:cs="宋体" w:hint="eastAsia"/>
          <w:szCs w:val="21"/>
        </w:rPr>
        <w:t>%</w:t>
      </w:r>
    </w:p>
    <w:p w:rsidR="000902F9" w:rsidRDefault="000902F9" w:rsidP="000902F9">
      <w:pPr>
        <w:spacing w:line="288" w:lineRule="auto"/>
        <w:rPr>
          <w:rFonts w:ascii="宋体" w:hAnsi="宋体" w:cs="宋体"/>
          <w:kern w:val="0"/>
          <w:szCs w:val="21"/>
        </w:rPr>
      </w:pPr>
    </w:p>
    <w:p w:rsidR="000902F9" w:rsidRDefault="000902F9" w:rsidP="000902F9">
      <w:pPr>
        <w:pStyle w:val="1"/>
        <w:numPr>
          <w:ilvl w:val="0"/>
          <w:numId w:val="1"/>
        </w:numPr>
        <w:spacing w:line="288" w:lineRule="auto"/>
        <w:ind w:firstLineChars="0"/>
        <w:rPr>
          <w:rFonts w:ascii="宋体" w:hAnsi="宋体" w:cs="宋体"/>
          <w:bCs/>
          <w:szCs w:val="21"/>
          <w:lang w:val="zh-CN"/>
        </w:rPr>
      </w:pPr>
      <w:r>
        <w:rPr>
          <w:rFonts w:ascii="宋体" w:hAnsi="宋体" w:cs="宋体" w:hint="eastAsia"/>
          <w:bCs/>
          <w:szCs w:val="21"/>
          <w:lang w:val="zh-CN"/>
        </w:rPr>
        <w:t>项目档案信息与关键指标</w:t>
      </w:r>
    </w:p>
    <w:p w:rsidR="000902F9" w:rsidRDefault="000902F9" w:rsidP="000902F9">
      <w:pPr>
        <w:spacing w:line="288" w:lineRule="auto"/>
        <w:rPr>
          <w:rFonts w:ascii="宋体" w:hAnsi="宋体" w:cs="宋体"/>
          <w:bCs/>
          <w:szCs w:val="21"/>
        </w:rPr>
      </w:pPr>
      <w:r>
        <w:rPr>
          <w:rFonts w:ascii="宋体" w:hAnsi="宋体" w:cs="宋体" w:hint="eastAsia"/>
          <w:bCs/>
          <w:szCs w:val="21"/>
        </w:rPr>
        <w:t>用水总量：m</w:t>
      </w:r>
      <w:r>
        <w:rPr>
          <w:rFonts w:ascii="宋体" w:hAnsi="宋体" w:cs="宋体" w:hint="eastAsia"/>
          <w:bCs/>
          <w:szCs w:val="21"/>
          <w:vertAlign w:val="superscript"/>
        </w:rPr>
        <w:t>3</w:t>
      </w:r>
      <w:r>
        <w:rPr>
          <w:rFonts w:ascii="宋体" w:hAnsi="宋体" w:cs="宋体" w:hint="eastAsia"/>
          <w:bCs/>
          <w:szCs w:val="21"/>
        </w:rPr>
        <w:t>/a</w:t>
      </w:r>
    </w:p>
    <w:p w:rsidR="000902F9" w:rsidRDefault="000902F9" w:rsidP="000902F9">
      <w:pPr>
        <w:spacing w:line="288" w:lineRule="auto"/>
        <w:rPr>
          <w:rFonts w:ascii="宋体" w:hAnsi="宋体" w:cs="宋体"/>
          <w:bCs/>
          <w:szCs w:val="21"/>
        </w:rPr>
      </w:pPr>
      <w:r>
        <w:rPr>
          <w:rFonts w:ascii="宋体" w:hAnsi="宋体" w:cs="宋体" w:hint="eastAsia"/>
          <w:bCs/>
          <w:szCs w:val="21"/>
        </w:rPr>
        <w:t>非传统水量：m</w:t>
      </w:r>
      <w:r>
        <w:rPr>
          <w:rFonts w:ascii="宋体" w:hAnsi="宋体" w:cs="宋体" w:hint="eastAsia"/>
          <w:bCs/>
          <w:szCs w:val="21"/>
          <w:vertAlign w:val="superscript"/>
        </w:rPr>
        <w:t>3</w:t>
      </w:r>
      <w:r>
        <w:rPr>
          <w:rFonts w:ascii="宋体" w:hAnsi="宋体" w:cs="宋体" w:hint="eastAsia"/>
          <w:bCs/>
          <w:szCs w:val="21"/>
        </w:rPr>
        <w:t>/a</w:t>
      </w:r>
    </w:p>
    <w:p w:rsidR="000902F9" w:rsidRDefault="000902F9" w:rsidP="000902F9">
      <w:pPr>
        <w:spacing w:line="288" w:lineRule="auto"/>
        <w:rPr>
          <w:rFonts w:ascii="宋体" w:hAnsi="宋体" w:cs="宋体"/>
          <w:kern w:val="0"/>
          <w:szCs w:val="21"/>
        </w:rPr>
      </w:pPr>
      <w:r>
        <w:rPr>
          <w:rFonts w:ascii="宋体" w:hAnsi="宋体" w:cs="宋体" w:hint="eastAsia"/>
          <w:bCs/>
          <w:szCs w:val="21"/>
        </w:rPr>
        <w:t>非传统水源利用率：%</w:t>
      </w:r>
    </w:p>
    <w:p w:rsidR="000902F9" w:rsidRDefault="000902F9" w:rsidP="000902F9">
      <w:pPr>
        <w:spacing w:line="288" w:lineRule="auto"/>
        <w:rPr>
          <w:rFonts w:ascii="宋体" w:hAnsi="宋体" w:cs="宋体"/>
          <w:kern w:val="0"/>
          <w:szCs w:val="21"/>
        </w:rPr>
      </w:pPr>
      <w:r>
        <w:rPr>
          <w:rFonts w:ascii="宋体" w:hAnsi="宋体" w:cs="宋体" w:hint="eastAsia"/>
          <w:bCs/>
          <w:szCs w:val="21"/>
        </w:rPr>
        <w:t>非传统水源利用率实际值（运行标识填写）：%</w:t>
      </w:r>
    </w:p>
    <w:p w:rsidR="000902F9" w:rsidRDefault="000902F9" w:rsidP="000902F9">
      <w:pPr>
        <w:spacing w:line="288" w:lineRule="auto"/>
        <w:rPr>
          <w:rFonts w:ascii="宋体" w:hAnsi="宋体" w:cs="宋体"/>
          <w:kern w:val="0"/>
          <w:szCs w:val="21"/>
        </w:rPr>
      </w:pPr>
    </w:p>
    <w:p w:rsidR="000902F9" w:rsidRDefault="000902F9" w:rsidP="000902F9">
      <w:pPr>
        <w:spacing w:line="288" w:lineRule="auto"/>
        <w:rPr>
          <w:rFonts w:ascii="宋体" w:hAnsi="宋体" w:cs="宋体"/>
          <w:b/>
          <w:szCs w:val="21"/>
          <w:lang w:val="zh-CN"/>
        </w:rPr>
      </w:pPr>
      <w:r>
        <w:rPr>
          <w:rFonts w:ascii="宋体" w:hAnsi="宋体" w:cs="宋体" w:hint="eastAsia"/>
          <w:b/>
          <w:szCs w:val="21"/>
        </w:rPr>
        <w:t>3、</w:t>
      </w:r>
      <w:r>
        <w:rPr>
          <w:rFonts w:ascii="宋体" w:hAnsi="宋体" w:cs="宋体" w:hint="eastAsia"/>
          <w:b/>
          <w:szCs w:val="21"/>
          <w:lang w:val="zh-CN"/>
        </w:rPr>
        <w:t>证明材料</w:t>
      </w:r>
    </w:p>
    <w:p w:rsidR="000902F9" w:rsidRDefault="000902F9" w:rsidP="000902F9">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892"/>
        <w:gridCol w:w="802"/>
        <w:gridCol w:w="773"/>
        <w:gridCol w:w="789"/>
      </w:tblGrid>
      <w:tr w:rsidR="000902F9" w:rsidTr="005451D5">
        <w:trPr>
          <w:trHeight w:val="540"/>
        </w:trPr>
        <w:tc>
          <w:tcPr>
            <w:tcW w:w="721" w:type="dxa"/>
            <w:shd w:val="clear" w:color="DBE5F1" w:fill="DBE5F1"/>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0902F9" w:rsidRDefault="000902F9"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0902F9" w:rsidRDefault="000902F9"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892" w:type="dxa"/>
            <w:shd w:val="clear" w:color="DBE5F1" w:fill="DBE5F1"/>
            <w:vAlign w:val="center"/>
          </w:tcPr>
          <w:p w:rsidR="000902F9" w:rsidRDefault="000902F9"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0902F9" w:rsidRDefault="000902F9" w:rsidP="005451D5">
            <w:pPr>
              <w:widowControl/>
              <w:jc w:val="center"/>
              <w:rPr>
                <w:rFonts w:ascii="宋体" w:hAnsi="宋体" w:cs="宋体"/>
                <w:bCs/>
                <w:kern w:val="0"/>
                <w:szCs w:val="21"/>
              </w:rPr>
            </w:pPr>
            <w:r>
              <w:rPr>
                <w:rFonts w:ascii="宋体" w:hAnsi="宋体" w:cs="宋体" w:hint="eastAsia"/>
                <w:bCs/>
                <w:kern w:val="0"/>
                <w:szCs w:val="21"/>
              </w:rPr>
              <w:t>要点</w:t>
            </w:r>
          </w:p>
        </w:tc>
        <w:tc>
          <w:tcPr>
            <w:tcW w:w="802" w:type="dxa"/>
            <w:shd w:val="clear" w:color="DBE5F1" w:fill="DBE5F1"/>
            <w:vAlign w:val="center"/>
          </w:tcPr>
          <w:p w:rsidR="000902F9" w:rsidRDefault="000902F9" w:rsidP="005451D5">
            <w:pPr>
              <w:widowControl/>
              <w:jc w:val="center"/>
              <w:rPr>
                <w:rFonts w:ascii="宋体" w:hAnsi="宋体" w:cs="宋体"/>
                <w:bCs/>
                <w:kern w:val="0"/>
                <w:szCs w:val="21"/>
              </w:rPr>
            </w:pPr>
            <w:r>
              <w:rPr>
                <w:rFonts w:ascii="宋体" w:hAnsi="宋体" w:cs="宋体" w:hint="eastAsia"/>
                <w:bCs/>
                <w:kern w:val="0"/>
                <w:szCs w:val="21"/>
              </w:rPr>
              <w:t>评价阶段</w:t>
            </w:r>
          </w:p>
        </w:tc>
        <w:tc>
          <w:tcPr>
            <w:tcW w:w="773" w:type="dxa"/>
            <w:shd w:val="clear" w:color="DBE5F1" w:fill="DBE5F1"/>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建筑类型</w:t>
            </w:r>
          </w:p>
        </w:tc>
        <w:tc>
          <w:tcPr>
            <w:tcW w:w="789" w:type="dxa"/>
            <w:shd w:val="clear" w:color="DBE5F1" w:fill="DBE5F1"/>
            <w:vAlign w:val="center"/>
          </w:tcPr>
          <w:p w:rsidR="000902F9" w:rsidRDefault="000902F9" w:rsidP="005451D5">
            <w:pPr>
              <w:widowControl/>
              <w:jc w:val="left"/>
              <w:rPr>
                <w:rFonts w:ascii="宋体" w:hAnsi="宋体" w:cs="宋体"/>
                <w:b/>
                <w:kern w:val="0"/>
                <w:szCs w:val="21"/>
              </w:rPr>
            </w:pPr>
            <w:r>
              <w:rPr>
                <w:rFonts w:ascii="宋体" w:hAnsi="宋体" w:cs="宋体" w:hint="eastAsia"/>
                <w:bCs/>
                <w:kern w:val="0"/>
                <w:szCs w:val="21"/>
              </w:rPr>
              <w:t>是否提交</w:t>
            </w:r>
          </w:p>
        </w:tc>
      </w:tr>
      <w:tr w:rsidR="000902F9" w:rsidTr="005451D5">
        <w:trPr>
          <w:trHeight w:val="270"/>
        </w:trPr>
        <w:tc>
          <w:tcPr>
            <w:tcW w:w="721" w:type="dxa"/>
            <w:tcBorders>
              <w:top w:val="single" w:sz="4" w:space="0" w:color="auto"/>
              <w:left w:val="single" w:sz="4"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建筑设计</w:t>
            </w:r>
          </w:p>
        </w:tc>
        <w:tc>
          <w:tcPr>
            <w:tcW w:w="1171" w:type="dxa"/>
            <w:tcBorders>
              <w:top w:val="single" w:sz="4"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建筑设计说明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应包括项目建筑类型、建筑功能、各功能区域规模的描述</w:t>
            </w:r>
          </w:p>
        </w:tc>
        <w:tc>
          <w:tcPr>
            <w:tcW w:w="892" w:type="dxa"/>
            <w:tcBorders>
              <w:top w:val="single" w:sz="4"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非传统水源利用条件</w:t>
            </w:r>
          </w:p>
        </w:tc>
        <w:tc>
          <w:tcPr>
            <w:tcW w:w="802" w:type="dxa"/>
            <w:tcBorders>
              <w:top w:val="single" w:sz="4"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4"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4"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val="restart"/>
            <w:tcBorders>
              <w:top w:val="single" w:sz="6" w:space="0" w:color="auto"/>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水资源利用方案</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应包括当地节水要求及水资源状况、市政设施情况、项目概况、用水定额的确定、用水量估算及水量平衡、给排水系统设计方案、节水器具、非传统水源利用</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市政设施情况、项目概况、给排水系统设计施工说明、非传统水源系统设计施工说明、防止误接误用措施说明、水质及水质保护、用水安全、设备材料表等</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vMerge w:val="restart"/>
            <w:tcBorders>
              <w:top w:val="single" w:sz="6" w:space="0" w:color="auto"/>
              <w:left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给排水系统图</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应体现非传统水源利用系统原理</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vMerge/>
            <w:tcBorders>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应体现给水系统分区、减压限流措施、分项计量；排水体制、水处理设施等</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室外给排水平面图</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应包括室外非传统水源收集及利用管线路由、非传统水源处理/供水机房位置、室外杂用水计量</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给排水平面图</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应包括非传统水源利用管线平面布置、非传统水源利用计量、非传统水源供水防超压出流措施</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非传统水源处理/供水机房设计详图</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应体现非传统水源处理/供水机房平面布置、剖面及水处理工艺流程、设备材料表</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非传统水源利用率计算书</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val="restart"/>
            <w:tcBorders>
              <w:top w:val="single" w:sz="6" w:space="0" w:color="auto"/>
              <w:left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水质检测报告</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应包括非传统水源水质定期检测记录，检测记录包含检测时间、检测项目、检测方法、检测结果等</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运行评价</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vMerge/>
            <w:tcBorders>
              <w:left w:val="single" w:sz="4"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用水量记录报告</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应包括项目运行期间各用水部门全年逐月用水量记录、非传统水源用水量记录（指标要求与自评一致）</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运行评价</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tcBorders>
              <w:left w:val="single" w:sz="4"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市政再生水供水协议</w:t>
            </w:r>
          </w:p>
        </w:tc>
        <w:tc>
          <w:tcPr>
            <w:tcW w:w="4476"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应包括市政再生水供水规模等相关内容，由项目甲方与市政再生水供水单位签订（使用市政再生水的项目需提供）</w:t>
            </w:r>
          </w:p>
        </w:tc>
        <w:tc>
          <w:tcPr>
            <w:tcW w:w="89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非传统水源</w:t>
            </w:r>
          </w:p>
        </w:tc>
        <w:tc>
          <w:tcPr>
            <w:tcW w:w="802" w:type="dxa"/>
            <w:tcBorders>
              <w:top w:val="single" w:sz="6" w:space="0" w:color="auto"/>
              <w:left w:val="single" w:sz="6" w:space="0" w:color="auto"/>
              <w:bottom w:val="single" w:sz="6"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6"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r w:rsidR="000902F9" w:rsidTr="005451D5">
        <w:trPr>
          <w:trHeight w:val="270"/>
        </w:trPr>
        <w:tc>
          <w:tcPr>
            <w:tcW w:w="721" w:type="dxa"/>
            <w:tcBorders>
              <w:top w:val="single" w:sz="6" w:space="0" w:color="auto"/>
              <w:left w:val="single" w:sz="4" w:space="0" w:color="auto"/>
              <w:bottom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不参评情况证明</w:t>
            </w:r>
          </w:p>
        </w:tc>
        <w:tc>
          <w:tcPr>
            <w:tcW w:w="1171" w:type="dxa"/>
            <w:tcBorders>
              <w:top w:val="single" w:sz="6" w:space="0" w:color="auto"/>
              <w:left w:val="single" w:sz="6" w:space="0" w:color="auto"/>
              <w:bottom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476" w:type="dxa"/>
            <w:tcBorders>
              <w:top w:val="single" w:sz="6" w:space="0" w:color="auto"/>
              <w:left w:val="single" w:sz="6" w:space="0" w:color="auto"/>
              <w:bottom w:val="single" w:sz="4"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应体现建筑主要功能类型及周边无市政再生水利用条件，且建筑可回用水量小于100m3/d时</w:t>
            </w:r>
          </w:p>
        </w:tc>
        <w:tc>
          <w:tcPr>
            <w:tcW w:w="892" w:type="dxa"/>
            <w:tcBorders>
              <w:top w:val="single" w:sz="6" w:space="0" w:color="auto"/>
              <w:left w:val="single" w:sz="6" w:space="0" w:color="auto"/>
              <w:bottom w:val="single" w:sz="4" w:space="0" w:color="auto"/>
              <w:right w:val="single" w:sz="6" w:space="0" w:color="auto"/>
            </w:tcBorders>
            <w:vAlign w:val="center"/>
          </w:tcPr>
          <w:p w:rsidR="000902F9" w:rsidRDefault="000902F9" w:rsidP="005451D5">
            <w:pPr>
              <w:widowControl/>
              <w:jc w:val="left"/>
              <w:rPr>
                <w:rFonts w:ascii="宋体" w:hAnsi="宋体" w:cs="宋体"/>
                <w:bCs/>
                <w:kern w:val="0"/>
                <w:szCs w:val="21"/>
              </w:rPr>
            </w:pPr>
            <w:r>
              <w:rPr>
                <w:rFonts w:ascii="宋体" w:hAnsi="宋体" w:cs="宋体" w:hint="eastAsia"/>
                <w:bCs/>
                <w:kern w:val="0"/>
                <w:szCs w:val="21"/>
              </w:rPr>
              <w:t>6.2.10</w:t>
            </w:r>
          </w:p>
        </w:tc>
        <w:tc>
          <w:tcPr>
            <w:tcW w:w="802" w:type="dxa"/>
            <w:tcBorders>
              <w:top w:val="single" w:sz="6" w:space="0" w:color="auto"/>
              <w:left w:val="single" w:sz="6" w:space="0" w:color="auto"/>
              <w:bottom w:val="single" w:sz="4" w:space="0" w:color="auto"/>
              <w:right w:val="single" w:sz="6"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4" w:space="0" w:color="auto"/>
              <w:right w:val="single" w:sz="4" w:space="0" w:color="auto"/>
            </w:tcBorders>
            <w:vAlign w:val="center"/>
          </w:tcPr>
          <w:p w:rsidR="000902F9" w:rsidRDefault="000902F9"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4" w:space="0" w:color="auto"/>
              <w:right w:val="single" w:sz="4" w:space="0" w:color="auto"/>
            </w:tcBorders>
            <w:vAlign w:val="center"/>
          </w:tcPr>
          <w:p w:rsidR="000902F9" w:rsidRDefault="000902F9" w:rsidP="005451D5">
            <w:pPr>
              <w:widowControl/>
              <w:jc w:val="left"/>
              <w:rPr>
                <w:rFonts w:ascii="宋体" w:hAnsi="宋体" w:cs="宋体"/>
                <w:kern w:val="0"/>
                <w:szCs w:val="21"/>
              </w:rPr>
            </w:pPr>
          </w:p>
        </w:tc>
      </w:tr>
    </w:tbl>
    <w:p w:rsidR="000902F9" w:rsidRDefault="000902F9" w:rsidP="000902F9">
      <w:pPr>
        <w:widowControl/>
        <w:jc w:val="left"/>
        <w:rPr>
          <w:rFonts w:ascii="宋体" w:hAnsi="宋体" w:cs="宋体"/>
          <w:szCs w:val="21"/>
        </w:rPr>
      </w:pPr>
    </w:p>
    <w:p w:rsidR="00572F3E" w:rsidRPr="000902F9" w:rsidRDefault="00572F3E" w:rsidP="000902F9">
      <w:bookmarkStart w:id="0" w:name="_GoBack"/>
      <w:bookmarkEnd w:id="0"/>
    </w:p>
    <w:sectPr w:rsidR="00572F3E" w:rsidRPr="00090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0E7" w:rsidRDefault="007540E7" w:rsidP="007540E7">
      <w:r>
        <w:separator/>
      </w:r>
    </w:p>
  </w:endnote>
  <w:endnote w:type="continuationSeparator" w:id="0">
    <w:p w:rsidR="007540E7" w:rsidRDefault="007540E7" w:rsidP="007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0E7" w:rsidRDefault="007540E7" w:rsidP="007540E7">
      <w:r>
        <w:separator/>
      </w:r>
    </w:p>
  </w:footnote>
  <w:footnote w:type="continuationSeparator" w:id="0">
    <w:p w:rsidR="007540E7" w:rsidRDefault="007540E7" w:rsidP="00754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singleLevel"/>
    <w:tmpl w:val="0000000E"/>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4"/>
    <w:rsid w:val="000902F9"/>
    <w:rsid w:val="00572F3E"/>
    <w:rsid w:val="007540E7"/>
    <w:rsid w:val="0081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5:chartTrackingRefBased/>
  <w15:docId w15:val="{4F307A48-1F11-45F4-A718-ED337519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0E7"/>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540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540E7"/>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40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40E7"/>
    <w:rPr>
      <w:sz w:val="18"/>
      <w:szCs w:val="18"/>
    </w:rPr>
  </w:style>
  <w:style w:type="paragraph" w:styleId="a4">
    <w:name w:val="footer"/>
    <w:basedOn w:val="a"/>
    <w:link w:val="Char0"/>
    <w:uiPriority w:val="99"/>
    <w:unhideWhenUsed/>
    <w:rsid w:val="007540E7"/>
    <w:pPr>
      <w:tabs>
        <w:tab w:val="center" w:pos="4153"/>
        <w:tab w:val="right" w:pos="8306"/>
      </w:tabs>
      <w:snapToGrid w:val="0"/>
      <w:jc w:val="left"/>
    </w:pPr>
    <w:rPr>
      <w:sz w:val="18"/>
      <w:szCs w:val="18"/>
    </w:rPr>
  </w:style>
  <w:style w:type="character" w:customStyle="1" w:styleId="Char0">
    <w:name w:val="页脚 Char"/>
    <w:basedOn w:val="a0"/>
    <w:link w:val="a4"/>
    <w:uiPriority w:val="99"/>
    <w:rsid w:val="007540E7"/>
    <w:rPr>
      <w:sz w:val="18"/>
      <w:szCs w:val="18"/>
    </w:rPr>
  </w:style>
  <w:style w:type="character" w:customStyle="1" w:styleId="3Char">
    <w:name w:val="标题 3 Char"/>
    <w:basedOn w:val="a0"/>
    <w:link w:val="3"/>
    <w:rsid w:val="007540E7"/>
    <w:rPr>
      <w:rFonts w:ascii="黑体" w:eastAsia="黑体" w:hAnsi="黑体" w:cs="Times New Roman"/>
      <w:sz w:val="24"/>
      <w:szCs w:val="32"/>
    </w:rPr>
  </w:style>
  <w:style w:type="paragraph" w:customStyle="1" w:styleId="1">
    <w:name w:val="列出段落1"/>
    <w:basedOn w:val="a"/>
    <w:rsid w:val="007540E7"/>
    <w:pPr>
      <w:ind w:firstLineChars="200" w:firstLine="420"/>
    </w:pPr>
  </w:style>
  <w:style w:type="character" w:customStyle="1" w:styleId="2Char">
    <w:name w:val="标题 2 Char"/>
    <w:basedOn w:val="a0"/>
    <w:link w:val="2"/>
    <w:uiPriority w:val="9"/>
    <w:semiHidden/>
    <w:rsid w:val="007540E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310</Words>
  <Characters>1770</Characters>
  <Application>Microsoft Office Word</Application>
  <DocSecurity>0</DocSecurity>
  <Lines>14</Lines>
  <Paragraphs>4</Paragraphs>
  <ScaleCrop>false</ScaleCrop>
  <Company>china</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2018-05-31T03:38:00Z</dcterms:created>
  <dcterms:modified xsi:type="dcterms:W3CDTF">2018-07-04T08:12:00Z</dcterms:modified>
</cp:coreProperties>
</file>