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E8" w:rsidRDefault="00394CE8" w:rsidP="00394CE8">
      <w:pPr>
        <w:pageBreakBefore/>
        <w:rPr>
          <w:rFonts w:ascii="黑体" w:eastAsia="黑体" w:hAnsi="黑体" w:cs="黑体"/>
          <w:sz w:val="24"/>
        </w:rPr>
      </w:pPr>
      <w:r>
        <w:rPr>
          <w:rFonts w:ascii="黑体" w:eastAsia="黑体" w:hAnsi="黑体" w:cs="黑体" w:hint="eastAsia"/>
          <w:sz w:val="24"/>
        </w:rPr>
        <w:t>7.2.12 采用可再利用和可再循环建筑材料。（评价总分值10分）</w:t>
      </w:r>
    </w:p>
    <w:p w:rsidR="00394CE8" w:rsidRDefault="00394CE8" w:rsidP="00394CE8">
      <w:pPr>
        <w:spacing w:line="288" w:lineRule="auto"/>
        <w:rPr>
          <w:rFonts w:ascii="宋体" w:hAnsi="宋体" w:cs="宋体"/>
          <w:kern w:val="0"/>
          <w:szCs w:val="21"/>
        </w:rPr>
      </w:pPr>
    </w:p>
    <w:p w:rsidR="00394CE8" w:rsidRDefault="00394CE8" w:rsidP="00394CE8">
      <w:pPr>
        <w:spacing w:line="288" w:lineRule="auto"/>
        <w:rPr>
          <w:rFonts w:ascii="宋体" w:hAnsi="宋体" w:cs="宋体"/>
          <w:b/>
          <w:bCs/>
          <w:kern w:val="0"/>
          <w:szCs w:val="21"/>
        </w:rPr>
      </w:pPr>
      <w:r>
        <w:rPr>
          <w:rFonts w:ascii="宋体" w:hAnsi="宋体" w:cs="宋体" w:hint="eastAsia"/>
          <w:b/>
          <w:bCs/>
          <w:kern w:val="0"/>
          <w:szCs w:val="21"/>
        </w:rPr>
        <w:t>参评情况</w:t>
      </w:r>
    </w:p>
    <w:p w:rsidR="00394CE8" w:rsidRDefault="00394CE8" w:rsidP="00394CE8">
      <w:pPr>
        <w:spacing w:line="288" w:lineRule="auto"/>
        <w:rPr>
          <w:rFonts w:ascii="宋体" w:hAnsi="宋体" w:cs="宋体"/>
          <w:kern w:val="0"/>
          <w:szCs w:val="21"/>
        </w:rPr>
      </w:pPr>
      <w:r>
        <w:rPr>
          <w:rFonts w:ascii="宋体" w:hAnsi="宋体" w:cs="宋体" w:hint="eastAsia"/>
          <w:kern w:val="0"/>
          <w:szCs w:val="21"/>
        </w:rPr>
        <w:t>□参评□不参评，原因（）</w:t>
      </w:r>
    </w:p>
    <w:p w:rsidR="00394CE8" w:rsidRDefault="00394CE8" w:rsidP="00394CE8">
      <w:pPr>
        <w:spacing w:line="288" w:lineRule="auto"/>
        <w:rPr>
          <w:rFonts w:ascii="宋体" w:hAnsi="宋体" w:cs="宋体"/>
          <w:kern w:val="0"/>
          <w:szCs w:val="21"/>
        </w:rPr>
      </w:pPr>
    </w:p>
    <w:p w:rsidR="00394CE8" w:rsidRDefault="00394CE8" w:rsidP="00394CE8">
      <w:pPr>
        <w:numPr>
          <w:ilvl w:val="0"/>
          <w:numId w:val="2"/>
        </w:numPr>
        <w:spacing w:line="288" w:lineRule="auto"/>
        <w:rPr>
          <w:rFonts w:ascii="宋体" w:hAnsi="宋体" w:cs="宋体"/>
          <w:b/>
          <w:szCs w:val="21"/>
          <w:lang w:val="zh-CN"/>
        </w:rPr>
      </w:pPr>
      <w:r>
        <w:rPr>
          <w:rFonts w:ascii="宋体" w:hAnsi="宋体" w:cs="宋体" w:hint="eastAsia"/>
          <w:b/>
          <w:szCs w:val="21"/>
          <w:lang w:val="zh-CN"/>
        </w:rPr>
        <w:t>得分自评</w:t>
      </w:r>
    </w:p>
    <w:p w:rsidR="00394CE8" w:rsidRDefault="00394CE8" w:rsidP="00394CE8">
      <w:pPr>
        <w:spacing w:line="288" w:lineRule="auto"/>
        <w:rPr>
          <w:rFonts w:ascii="宋体" w:hAnsi="宋体" w:cs="宋体"/>
          <w:b/>
          <w:bCs/>
          <w:szCs w:val="21"/>
        </w:rPr>
      </w:pPr>
      <w:r>
        <w:rPr>
          <w:rFonts w:ascii="宋体" w:hAnsi="宋体" w:cs="宋体" w:hint="eastAsia"/>
          <w:b/>
          <w:bCs/>
          <w:szCs w:val="21"/>
        </w:rPr>
        <w:t>□住宅建筑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2653"/>
        <w:gridCol w:w="2206"/>
        <w:gridCol w:w="2003"/>
      </w:tblGrid>
      <w:tr w:rsidR="00394CE8" w:rsidTr="005451D5">
        <w:trPr>
          <w:trHeight w:val="728"/>
          <w:jc w:val="center"/>
        </w:trPr>
        <w:tc>
          <w:tcPr>
            <w:tcW w:w="5305" w:type="dxa"/>
            <w:gridSpan w:val="2"/>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评价内容</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评价分值（分）</w:t>
            </w:r>
          </w:p>
        </w:tc>
        <w:tc>
          <w:tcPr>
            <w:tcW w:w="200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自评得分（分）</w:t>
            </w:r>
          </w:p>
        </w:tc>
      </w:tr>
      <w:tr w:rsidR="00394CE8" w:rsidTr="005451D5">
        <w:trPr>
          <w:jc w:val="center"/>
        </w:trPr>
        <w:tc>
          <w:tcPr>
            <w:tcW w:w="2652" w:type="dxa"/>
            <w:vMerge w:val="restart"/>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可再利用材料和可再循环材料用量比例</w:t>
            </w:r>
          </w:p>
        </w:tc>
        <w:tc>
          <w:tcPr>
            <w:tcW w:w="265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达到6%</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8</w:t>
            </w:r>
          </w:p>
        </w:tc>
        <w:tc>
          <w:tcPr>
            <w:tcW w:w="2003" w:type="dxa"/>
            <w:vMerge w:val="restart"/>
            <w:vAlign w:val="center"/>
          </w:tcPr>
          <w:p w:rsidR="00394CE8" w:rsidRDefault="00394CE8" w:rsidP="005451D5">
            <w:pPr>
              <w:spacing w:line="288" w:lineRule="auto"/>
              <w:jc w:val="center"/>
              <w:rPr>
                <w:rFonts w:ascii="宋体" w:hAnsi="宋体" w:cs="宋体"/>
                <w:szCs w:val="21"/>
              </w:rPr>
            </w:pPr>
          </w:p>
        </w:tc>
      </w:tr>
      <w:tr w:rsidR="00394CE8" w:rsidTr="005451D5">
        <w:trPr>
          <w:jc w:val="center"/>
        </w:trPr>
        <w:tc>
          <w:tcPr>
            <w:tcW w:w="2652" w:type="dxa"/>
            <w:vMerge/>
            <w:vAlign w:val="center"/>
          </w:tcPr>
          <w:p w:rsidR="00394CE8" w:rsidRDefault="00394CE8" w:rsidP="005451D5">
            <w:pPr>
              <w:spacing w:line="288" w:lineRule="auto"/>
              <w:jc w:val="center"/>
              <w:rPr>
                <w:rFonts w:ascii="宋体" w:hAnsi="宋体" w:cs="宋体"/>
                <w:szCs w:val="21"/>
              </w:rPr>
            </w:pPr>
          </w:p>
        </w:tc>
        <w:tc>
          <w:tcPr>
            <w:tcW w:w="265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达到10%</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10</w:t>
            </w:r>
          </w:p>
        </w:tc>
        <w:tc>
          <w:tcPr>
            <w:tcW w:w="2003" w:type="dxa"/>
            <w:vMerge/>
            <w:vAlign w:val="center"/>
          </w:tcPr>
          <w:p w:rsidR="00394CE8" w:rsidRDefault="00394CE8" w:rsidP="005451D5">
            <w:pPr>
              <w:spacing w:line="288" w:lineRule="auto"/>
              <w:jc w:val="center"/>
              <w:rPr>
                <w:rFonts w:ascii="宋体" w:hAnsi="宋体" w:cs="宋体"/>
                <w:szCs w:val="21"/>
              </w:rPr>
            </w:pPr>
          </w:p>
        </w:tc>
      </w:tr>
    </w:tbl>
    <w:p w:rsidR="00394CE8" w:rsidRDefault="00394CE8" w:rsidP="00394CE8">
      <w:pPr>
        <w:spacing w:line="288" w:lineRule="auto"/>
        <w:rPr>
          <w:rFonts w:ascii="宋体" w:hAnsi="宋体" w:cs="宋体"/>
          <w:b/>
          <w:bCs/>
          <w:szCs w:val="21"/>
        </w:rPr>
      </w:pPr>
      <w:r>
        <w:rPr>
          <w:rFonts w:ascii="宋体" w:hAnsi="宋体" w:cs="宋体" w:hint="eastAsia"/>
          <w:b/>
          <w:bCs/>
          <w:szCs w:val="21"/>
        </w:rPr>
        <w:t>□公共建筑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2653"/>
        <w:gridCol w:w="2206"/>
        <w:gridCol w:w="2003"/>
      </w:tblGrid>
      <w:tr w:rsidR="00394CE8" w:rsidTr="005451D5">
        <w:trPr>
          <w:trHeight w:val="568"/>
          <w:jc w:val="center"/>
        </w:trPr>
        <w:tc>
          <w:tcPr>
            <w:tcW w:w="5305" w:type="dxa"/>
            <w:gridSpan w:val="2"/>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评价内容</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评价分值（分）</w:t>
            </w:r>
          </w:p>
        </w:tc>
        <w:tc>
          <w:tcPr>
            <w:tcW w:w="200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自评得分（分）</w:t>
            </w:r>
          </w:p>
        </w:tc>
      </w:tr>
      <w:tr w:rsidR="00394CE8" w:rsidTr="005451D5">
        <w:trPr>
          <w:jc w:val="center"/>
        </w:trPr>
        <w:tc>
          <w:tcPr>
            <w:tcW w:w="2652" w:type="dxa"/>
            <w:vMerge w:val="restart"/>
            <w:vAlign w:val="center"/>
          </w:tcPr>
          <w:p w:rsidR="00394CE8" w:rsidRDefault="00394CE8" w:rsidP="005451D5">
            <w:pPr>
              <w:spacing w:line="288" w:lineRule="auto"/>
              <w:rPr>
                <w:rFonts w:ascii="宋体" w:hAnsi="宋体" w:cs="宋体"/>
                <w:szCs w:val="21"/>
              </w:rPr>
            </w:pPr>
            <w:r>
              <w:rPr>
                <w:rFonts w:ascii="宋体" w:hAnsi="宋体" w:cs="宋体" w:hint="eastAsia"/>
                <w:szCs w:val="21"/>
              </w:rPr>
              <w:t>可再利用材料和可再循环材料用量比例</w:t>
            </w:r>
          </w:p>
        </w:tc>
        <w:tc>
          <w:tcPr>
            <w:tcW w:w="265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达到10%</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8</w:t>
            </w:r>
          </w:p>
        </w:tc>
        <w:tc>
          <w:tcPr>
            <w:tcW w:w="2003" w:type="dxa"/>
            <w:vMerge w:val="restart"/>
            <w:vAlign w:val="center"/>
          </w:tcPr>
          <w:p w:rsidR="00394CE8" w:rsidRDefault="00394CE8" w:rsidP="005451D5">
            <w:pPr>
              <w:spacing w:line="288" w:lineRule="auto"/>
              <w:jc w:val="center"/>
              <w:rPr>
                <w:rFonts w:ascii="宋体" w:hAnsi="宋体" w:cs="宋体"/>
                <w:szCs w:val="21"/>
              </w:rPr>
            </w:pPr>
          </w:p>
        </w:tc>
      </w:tr>
      <w:tr w:rsidR="00394CE8" w:rsidTr="005451D5">
        <w:trPr>
          <w:jc w:val="center"/>
        </w:trPr>
        <w:tc>
          <w:tcPr>
            <w:tcW w:w="2652" w:type="dxa"/>
            <w:vMerge/>
            <w:vAlign w:val="center"/>
          </w:tcPr>
          <w:p w:rsidR="00394CE8" w:rsidRDefault="00394CE8" w:rsidP="005451D5">
            <w:pPr>
              <w:spacing w:line="288" w:lineRule="auto"/>
              <w:jc w:val="center"/>
              <w:rPr>
                <w:rFonts w:ascii="宋体" w:hAnsi="宋体" w:cs="宋体"/>
                <w:szCs w:val="21"/>
              </w:rPr>
            </w:pPr>
          </w:p>
        </w:tc>
        <w:tc>
          <w:tcPr>
            <w:tcW w:w="2653"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达到15%</w:t>
            </w:r>
          </w:p>
        </w:tc>
        <w:tc>
          <w:tcPr>
            <w:tcW w:w="2206" w:type="dxa"/>
            <w:vAlign w:val="center"/>
          </w:tcPr>
          <w:p w:rsidR="00394CE8" w:rsidRDefault="00394CE8" w:rsidP="005451D5">
            <w:pPr>
              <w:spacing w:line="288" w:lineRule="auto"/>
              <w:jc w:val="center"/>
              <w:rPr>
                <w:rFonts w:ascii="宋体" w:hAnsi="宋体" w:cs="宋体"/>
                <w:szCs w:val="21"/>
              </w:rPr>
            </w:pPr>
            <w:r>
              <w:rPr>
                <w:rFonts w:ascii="宋体" w:hAnsi="宋体" w:cs="宋体" w:hint="eastAsia"/>
                <w:szCs w:val="21"/>
              </w:rPr>
              <w:t>10</w:t>
            </w:r>
          </w:p>
        </w:tc>
        <w:tc>
          <w:tcPr>
            <w:tcW w:w="2003" w:type="dxa"/>
            <w:vMerge/>
            <w:vAlign w:val="center"/>
          </w:tcPr>
          <w:p w:rsidR="00394CE8" w:rsidRDefault="00394CE8" w:rsidP="005451D5">
            <w:pPr>
              <w:spacing w:line="288" w:lineRule="auto"/>
              <w:jc w:val="center"/>
              <w:rPr>
                <w:rFonts w:ascii="宋体" w:hAnsi="宋体" w:cs="宋体"/>
                <w:szCs w:val="21"/>
              </w:rPr>
            </w:pPr>
          </w:p>
        </w:tc>
      </w:tr>
    </w:tbl>
    <w:p w:rsidR="00394CE8" w:rsidRDefault="00394CE8" w:rsidP="00394CE8">
      <w:pPr>
        <w:spacing w:line="288" w:lineRule="auto"/>
        <w:rPr>
          <w:rFonts w:ascii="宋体" w:hAnsi="宋体" w:cs="宋体"/>
          <w:bCs/>
          <w:szCs w:val="21"/>
          <w:lang w:val="zh-CN"/>
        </w:rPr>
      </w:pPr>
    </w:p>
    <w:p w:rsidR="00394CE8" w:rsidRDefault="00394CE8" w:rsidP="00394CE8">
      <w:pPr>
        <w:spacing w:line="288" w:lineRule="auto"/>
        <w:rPr>
          <w:rFonts w:ascii="宋体" w:hAnsi="宋体" w:cs="宋体"/>
          <w:b/>
          <w:szCs w:val="21"/>
          <w:lang w:val="zh-CN"/>
        </w:rPr>
      </w:pPr>
      <w:r>
        <w:rPr>
          <w:rFonts w:ascii="宋体" w:hAnsi="宋体" w:cs="宋体" w:hint="eastAsia"/>
          <w:b/>
          <w:szCs w:val="21"/>
        </w:rPr>
        <w:t>2、</w:t>
      </w:r>
      <w:r>
        <w:rPr>
          <w:rFonts w:ascii="宋体" w:hAnsi="宋体" w:cs="宋体" w:hint="eastAsia"/>
          <w:b/>
          <w:szCs w:val="21"/>
          <w:lang w:val="zh-CN"/>
        </w:rPr>
        <w:t>评价要点</w:t>
      </w:r>
    </w:p>
    <w:p w:rsidR="00394CE8" w:rsidRDefault="00394CE8" w:rsidP="00394CE8">
      <w:pPr>
        <w:pStyle w:val="1"/>
        <w:numPr>
          <w:ilvl w:val="0"/>
          <w:numId w:val="1"/>
        </w:numPr>
        <w:spacing w:line="288" w:lineRule="auto"/>
        <w:ind w:left="420" w:firstLineChars="0"/>
        <w:rPr>
          <w:rFonts w:ascii="宋体" w:hAnsi="宋体" w:cs="宋体"/>
          <w:szCs w:val="21"/>
          <w:lang w:val="zh-CN"/>
        </w:rPr>
      </w:pPr>
      <w:r>
        <w:rPr>
          <w:rFonts w:ascii="宋体" w:hAnsi="宋体" w:cs="宋体" w:hint="eastAsia"/>
          <w:szCs w:val="21"/>
          <w:lang w:val="zh-CN"/>
        </w:rPr>
        <w:t>可再利用材料和可再循环材料使用情况：</w:t>
      </w:r>
    </w:p>
    <w:p w:rsidR="00394CE8" w:rsidRDefault="00394CE8" w:rsidP="00394CE8">
      <w:pPr>
        <w:spacing w:line="288" w:lineRule="auto"/>
        <w:rPr>
          <w:rFonts w:ascii="宋体" w:hAnsi="宋体" w:cs="宋体"/>
          <w:szCs w:val="21"/>
        </w:rPr>
      </w:pPr>
      <w:r>
        <w:rPr>
          <w:rFonts w:ascii="宋体" w:hAnsi="宋体" w:cs="宋体" w:hint="eastAsia"/>
          <w:szCs w:val="21"/>
        </w:rPr>
        <w:t>建筑可再利用和可再循环材料使用重量：t；本项目所有建筑材料总重量：t；</w:t>
      </w:r>
    </w:p>
    <w:p w:rsidR="00394CE8" w:rsidRDefault="00394CE8" w:rsidP="00394CE8">
      <w:pPr>
        <w:spacing w:line="288" w:lineRule="auto"/>
        <w:rPr>
          <w:rFonts w:ascii="宋体" w:hAnsi="宋体" w:cs="宋体"/>
          <w:szCs w:val="21"/>
        </w:rPr>
      </w:pPr>
      <w:r>
        <w:rPr>
          <w:rFonts w:ascii="宋体" w:hAnsi="宋体" w:cs="宋体" w:hint="eastAsia"/>
          <w:szCs w:val="21"/>
        </w:rPr>
        <w:t>可再利用材料和可再循环材料使用重量占所有建筑材料总重量的比例： %。</w:t>
      </w:r>
    </w:p>
    <w:p w:rsidR="00394CE8" w:rsidRDefault="00394CE8" w:rsidP="00394CE8">
      <w:pPr>
        <w:pStyle w:val="1"/>
        <w:numPr>
          <w:ilvl w:val="0"/>
          <w:numId w:val="3"/>
        </w:numPr>
        <w:spacing w:line="288" w:lineRule="auto"/>
        <w:ind w:firstLineChars="0"/>
        <w:rPr>
          <w:rFonts w:ascii="宋体" w:hAnsi="宋体" w:cs="宋体"/>
          <w:bCs/>
          <w:szCs w:val="21"/>
          <w:lang w:val="zh-CN"/>
        </w:rPr>
      </w:pPr>
      <w:r>
        <w:rPr>
          <w:rFonts w:ascii="宋体" w:hAnsi="宋体" w:cs="宋体" w:hint="eastAsia"/>
          <w:bCs/>
          <w:szCs w:val="21"/>
          <w:lang w:val="zh-CN"/>
        </w:rPr>
        <w:t>项目档案信息表与证书关键指标</w:t>
      </w:r>
    </w:p>
    <w:p w:rsidR="00394CE8" w:rsidRDefault="00394CE8" w:rsidP="00394CE8">
      <w:pPr>
        <w:spacing w:line="288" w:lineRule="auto"/>
        <w:rPr>
          <w:rFonts w:ascii="宋体" w:hAnsi="宋体" w:cs="宋体"/>
          <w:szCs w:val="21"/>
        </w:rPr>
      </w:pPr>
      <w:r>
        <w:rPr>
          <w:rFonts w:ascii="宋体" w:hAnsi="宋体" w:cs="宋体" w:hint="eastAsia"/>
          <w:szCs w:val="21"/>
        </w:rPr>
        <w:t>建筑材料总重量：t，可再利用可再循环材料重量：t</w:t>
      </w:r>
    </w:p>
    <w:p w:rsidR="00394CE8" w:rsidRDefault="00394CE8" w:rsidP="00394CE8">
      <w:pPr>
        <w:spacing w:line="288" w:lineRule="auto"/>
        <w:rPr>
          <w:rFonts w:ascii="宋体" w:hAnsi="宋体" w:cs="宋体"/>
          <w:szCs w:val="21"/>
        </w:rPr>
      </w:pPr>
      <w:r>
        <w:rPr>
          <w:rFonts w:ascii="宋体" w:hAnsi="宋体" w:cs="宋体" w:hint="eastAsia"/>
          <w:szCs w:val="21"/>
        </w:rPr>
        <w:t>可再利用可再循环材料用量比：%</w:t>
      </w:r>
    </w:p>
    <w:p w:rsidR="00394CE8" w:rsidRDefault="00394CE8" w:rsidP="00394CE8">
      <w:pPr>
        <w:spacing w:line="288" w:lineRule="auto"/>
        <w:rPr>
          <w:rFonts w:ascii="宋体" w:hAnsi="宋体" w:cs="宋体"/>
          <w:szCs w:val="21"/>
        </w:rPr>
      </w:pPr>
      <w:r>
        <w:rPr>
          <w:rFonts w:ascii="宋体" w:hAnsi="宋体" w:cs="宋体" w:hint="eastAsia"/>
          <w:szCs w:val="21"/>
        </w:rPr>
        <w:t>设计可再利用可再循环材料用量比（运行标识填写）：%</w:t>
      </w:r>
    </w:p>
    <w:p w:rsidR="00394CE8" w:rsidRDefault="00394CE8" w:rsidP="00394CE8">
      <w:pPr>
        <w:spacing w:line="288" w:lineRule="auto"/>
        <w:rPr>
          <w:rFonts w:ascii="宋体" w:hAnsi="宋体" w:cs="宋体"/>
          <w:b/>
          <w:bCs/>
          <w:szCs w:val="21"/>
        </w:rPr>
      </w:pPr>
    </w:p>
    <w:p w:rsidR="00394CE8" w:rsidRDefault="00394CE8" w:rsidP="00394CE8">
      <w:pPr>
        <w:spacing w:line="288" w:lineRule="auto"/>
        <w:rPr>
          <w:rFonts w:ascii="宋体" w:hAnsi="宋体" w:cs="宋体"/>
          <w:b/>
          <w:bCs/>
          <w:szCs w:val="21"/>
          <w:lang w:val="zh-CN"/>
        </w:rPr>
      </w:pPr>
      <w:r>
        <w:rPr>
          <w:rFonts w:ascii="宋体" w:hAnsi="宋体" w:cs="宋体" w:hint="eastAsia"/>
          <w:b/>
          <w:bCs/>
          <w:szCs w:val="21"/>
        </w:rPr>
        <w:t>3、</w:t>
      </w:r>
      <w:r>
        <w:rPr>
          <w:rFonts w:ascii="宋体" w:hAnsi="宋体" w:cs="宋体" w:hint="eastAsia"/>
          <w:b/>
          <w:bCs/>
          <w:szCs w:val="21"/>
          <w:lang w:val="zh-CN"/>
        </w:rPr>
        <w:t>证明材料</w:t>
      </w:r>
    </w:p>
    <w:p w:rsidR="00394CE8" w:rsidRDefault="00394CE8" w:rsidP="00394CE8">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892"/>
        <w:gridCol w:w="802"/>
        <w:gridCol w:w="773"/>
        <w:gridCol w:w="789"/>
      </w:tblGrid>
      <w:tr w:rsidR="00394CE8" w:rsidTr="005451D5">
        <w:trPr>
          <w:trHeight w:val="540"/>
        </w:trPr>
        <w:tc>
          <w:tcPr>
            <w:tcW w:w="721" w:type="dxa"/>
            <w:shd w:val="clear" w:color="DBE5F1" w:fill="DBE5F1"/>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394CE8" w:rsidRDefault="00394CE8"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394CE8" w:rsidRDefault="00394CE8"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892" w:type="dxa"/>
            <w:shd w:val="clear" w:color="DBE5F1" w:fill="DBE5F1"/>
            <w:vAlign w:val="center"/>
          </w:tcPr>
          <w:p w:rsidR="00394CE8" w:rsidRDefault="00394CE8"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394CE8" w:rsidRDefault="00394CE8" w:rsidP="005451D5">
            <w:pPr>
              <w:widowControl/>
              <w:jc w:val="center"/>
              <w:rPr>
                <w:rFonts w:ascii="宋体" w:hAnsi="宋体" w:cs="宋体"/>
                <w:bCs/>
                <w:kern w:val="0"/>
                <w:szCs w:val="21"/>
              </w:rPr>
            </w:pPr>
            <w:r>
              <w:rPr>
                <w:rFonts w:ascii="宋体" w:hAnsi="宋体" w:cs="宋体" w:hint="eastAsia"/>
                <w:bCs/>
                <w:kern w:val="0"/>
                <w:szCs w:val="21"/>
              </w:rPr>
              <w:t>要点</w:t>
            </w:r>
          </w:p>
        </w:tc>
        <w:tc>
          <w:tcPr>
            <w:tcW w:w="802" w:type="dxa"/>
            <w:shd w:val="clear" w:color="DBE5F1" w:fill="DBE5F1"/>
            <w:vAlign w:val="center"/>
          </w:tcPr>
          <w:p w:rsidR="00394CE8" w:rsidRDefault="00394CE8" w:rsidP="005451D5">
            <w:pPr>
              <w:widowControl/>
              <w:jc w:val="center"/>
              <w:rPr>
                <w:rFonts w:ascii="宋体" w:hAnsi="宋体" w:cs="宋体"/>
                <w:bCs/>
                <w:kern w:val="0"/>
                <w:szCs w:val="21"/>
              </w:rPr>
            </w:pPr>
            <w:r>
              <w:rPr>
                <w:rFonts w:ascii="宋体" w:hAnsi="宋体" w:cs="宋体" w:hint="eastAsia"/>
                <w:bCs/>
                <w:kern w:val="0"/>
                <w:szCs w:val="21"/>
              </w:rPr>
              <w:t>评价阶段</w:t>
            </w:r>
          </w:p>
        </w:tc>
        <w:tc>
          <w:tcPr>
            <w:tcW w:w="773" w:type="dxa"/>
            <w:shd w:val="clear" w:color="DBE5F1" w:fill="DBE5F1"/>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建筑类型</w:t>
            </w:r>
          </w:p>
        </w:tc>
        <w:tc>
          <w:tcPr>
            <w:tcW w:w="789" w:type="dxa"/>
            <w:shd w:val="clear" w:color="DBE5F1" w:fill="DBE5F1"/>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394CE8" w:rsidTr="005451D5">
        <w:trPr>
          <w:trHeight w:val="270"/>
        </w:trPr>
        <w:tc>
          <w:tcPr>
            <w:tcW w:w="721" w:type="dxa"/>
            <w:vMerge w:val="restart"/>
            <w:tcBorders>
              <w:top w:val="single" w:sz="4" w:space="0" w:color="auto"/>
              <w:left w:val="single" w:sz="4" w:space="0" w:color="auto"/>
              <w:right w:val="single" w:sz="6" w:space="0" w:color="auto"/>
            </w:tcBorders>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4" w:space="0" w:color="auto"/>
              <w:left w:val="single" w:sz="6" w:space="0" w:color="auto"/>
              <w:bottom w:val="single" w:sz="6" w:space="0" w:color="auto"/>
              <w:right w:val="single" w:sz="6" w:space="0" w:color="auto"/>
            </w:tcBorders>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可再利用和可再循环材料使用比例计算书</w:t>
            </w:r>
          </w:p>
        </w:tc>
        <w:tc>
          <w:tcPr>
            <w:tcW w:w="4476" w:type="dxa"/>
            <w:tcBorders>
              <w:top w:val="single" w:sz="4" w:space="0" w:color="auto"/>
              <w:left w:val="single" w:sz="6" w:space="0" w:color="auto"/>
              <w:bottom w:val="single" w:sz="6" w:space="0" w:color="auto"/>
              <w:right w:val="single" w:sz="6"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应体现项目采用的可再利用和可再循环材料的种类、使用部位、用量及使用比例（指标要求与自评一致）</w:t>
            </w:r>
          </w:p>
        </w:tc>
        <w:tc>
          <w:tcPr>
            <w:tcW w:w="892" w:type="dxa"/>
            <w:tcBorders>
              <w:top w:val="single" w:sz="4" w:space="0" w:color="auto"/>
              <w:left w:val="single" w:sz="6" w:space="0" w:color="auto"/>
              <w:bottom w:val="single" w:sz="6" w:space="0" w:color="auto"/>
              <w:right w:val="single" w:sz="6" w:space="0" w:color="auto"/>
            </w:tcBorders>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可循环利用材料</w:t>
            </w:r>
          </w:p>
        </w:tc>
        <w:tc>
          <w:tcPr>
            <w:tcW w:w="802" w:type="dxa"/>
            <w:tcBorders>
              <w:top w:val="single" w:sz="4" w:space="0" w:color="auto"/>
              <w:left w:val="single" w:sz="6" w:space="0" w:color="auto"/>
              <w:bottom w:val="single" w:sz="6" w:space="0" w:color="auto"/>
              <w:right w:val="single" w:sz="6"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4" w:space="0" w:color="auto"/>
              <w:left w:val="single" w:sz="6" w:space="0" w:color="auto"/>
              <w:bottom w:val="single" w:sz="6" w:space="0" w:color="auto"/>
              <w:right w:val="single" w:sz="4"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4" w:space="0" w:color="auto"/>
              <w:left w:val="single" w:sz="6" w:space="0" w:color="auto"/>
              <w:bottom w:val="single" w:sz="6" w:space="0" w:color="auto"/>
              <w:right w:val="single" w:sz="4" w:space="0" w:color="auto"/>
            </w:tcBorders>
            <w:vAlign w:val="center"/>
          </w:tcPr>
          <w:p w:rsidR="00394CE8" w:rsidRDefault="00394CE8" w:rsidP="005451D5">
            <w:pPr>
              <w:widowControl/>
              <w:jc w:val="left"/>
              <w:rPr>
                <w:rFonts w:ascii="宋体" w:hAnsi="宋体" w:cs="宋体"/>
                <w:kern w:val="0"/>
                <w:szCs w:val="21"/>
              </w:rPr>
            </w:pPr>
          </w:p>
        </w:tc>
      </w:tr>
      <w:tr w:rsidR="00394CE8" w:rsidTr="005451D5">
        <w:trPr>
          <w:trHeight w:val="270"/>
        </w:trPr>
        <w:tc>
          <w:tcPr>
            <w:tcW w:w="721" w:type="dxa"/>
            <w:vMerge/>
            <w:tcBorders>
              <w:left w:val="single" w:sz="4" w:space="0" w:color="auto"/>
              <w:bottom w:val="single" w:sz="4" w:space="0" w:color="auto"/>
              <w:right w:val="single" w:sz="6" w:space="0" w:color="auto"/>
            </w:tcBorders>
            <w:vAlign w:val="center"/>
          </w:tcPr>
          <w:p w:rsidR="00394CE8" w:rsidRDefault="00394CE8" w:rsidP="005451D5">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建筑工程造价预算/决算清单</w:t>
            </w:r>
          </w:p>
        </w:tc>
        <w:tc>
          <w:tcPr>
            <w:tcW w:w="4476" w:type="dxa"/>
            <w:tcBorders>
              <w:top w:val="single" w:sz="6" w:space="0" w:color="auto"/>
              <w:left w:val="single" w:sz="6" w:space="0" w:color="auto"/>
              <w:bottom w:val="single" w:sz="4" w:space="0" w:color="auto"/>
              <w:right w:val="single" w:sz="6"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应体现项目选用的全部材料种类、名称，使用部位、用量等信息，应与土建及装修设计图纸对应</w:t>
            </w:r>
          </w:p>
        </w:tc>
        <w:tc>
          <w:tcPr>
            <w:tcW w:w="892" w:type="dxa"/>
            <w:tcBorders>
              <w:top w:val="single" w:sz="6" w:space="0" w:color="auto"/>
              <w:left w:val="single" w:sz="6" w:space="0" w:color="auto"/>
              <w:bottom w:val="single" w:sz="4" w:space="0" w:color="auto"/>
              <w:right w:val="single" w:sz="6" w:space="0" w:color="auto"/>
            </w:tcBorders>
            <w:vAlign w:val="center"/>
          </w:tcPr>
          <w:p w:rsidR="00394CE8" w:rsidRDefault="00394CE8" w:rsidP="005451D5">
            <w:pPr>
              <w:widowControl/>
              <w:jc w:val="left"/>
              <w:rPr>
                <w:rFonts w:ascii="宋体" w:hAnsi="宋体" w:cs="宋体"/>
                <w:bCs/>
                <w:kern w:val="0"/>
                <w:szCs w:val="21"/>
              </w:rPr>
            </w:pPr>
            <w:r>
              <w:rPr>
                <w:rFonts w:ascii="宋体" w:hAnsi="宋体" w:cs="宋体" w:hint="eastAsia"/>
                <w:bCs/>
                <w:kern w:val="0"/>
                <w:szCs w:val="21"/>
              </w:rPr>
              <w:t>可循环利用材料</w:t>
            </w:r>
          </w:p>
        </w:tc>
        <w:tc>
          <w:tcPr>
            <w:tcW w:w="802" w:type="dxa"/>
            <w:tcBorders>
              <w:top w:val="single" w:sz="6" w:space="0" w:color="auto"/>
              <w:left w:val="single" w:sz="6" w:space="0" w:color="auto"/>
              <w:bottom w:val="single" w:sz="4" w:space="0" w:color="auto"/>
              <w:right w:val="single" w:sz="6"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设计/运行</w:t>
            </w:r>
          </w:p>
        </w:tc>
        <w:tc>
          <w:tcPr>
            <w:tcW w:w="773" w:type="dxa"/>
            <w:tcBorders>
              <w:top w:val="single" w:sz="6" w:space="0" w:color="auto"/>
              <w:left w:val="single" w:sz="6" w:space="0" w:color="auto"/>
              <w:bottom w:val="single" w:sz="4" w:space="0" w:color="auto"/>
              <w:right w:val="single" w:sz="4" w:space="0" w:color="auto"/>
            </w:tcBorders>
            <w:vAlign w:val="center"/>
          </w:tcPr>
          <w:p w:rsidR="00394CE8" w:rsidRDefault="00394CE8" w:rsidP="005451D5">
            <w:pPr>
              <w:widowControl/>
              <w:jc w:val="left"/>
              <w:rPr>
                <w:rFonts w:ascii="宋体" w:hAnsi="宋体" w:cs="宋体"/>
                <w:kern w:val="0"/>
                <w:szCs w:val="21"/>
              </w:rPr>
            </w:pPr>
            <w:r>
              <w:rPr>
                <w:rFonts w:ascii="宋体" w:hAnsi="宋体" w:cs="宋体" w:hint="eastAsia"/>
                <w:kern w:val="0"/>
                <w:szCs w:val="21"/>
              </w:rPr>
              <w:t>居建/公建</w:t>
            </w:r>
          </w:p>
        </w:tc>
        <w:tc>
          <w:tcPr>
            <w:tcW w:w="789" w:type="dxa"/>
            <w:tcBorders>
              <w:top w:val="single" w:sz="6" w:space="0" w:color="auto"/>
              <w:left w:val="single" w:sz="6" w:space="0" w:color="auto"/>
              <w:bottom w:val="single" w:sz="4" w:space="0" w:color="auto"/>
              <w:right w:val="single" w:sz="4" w:space="0" w:color="auto"/>
            </w:tcBorders>
            <w:vAlign w:val="center"/>
          </w:tcPr>
          <w:p w:rsidR="00394CE8" w:rsidRDefault="00394CE8" w:rsidP="005451D5">
            <w:pPr>
              <w:widowControl/>
              <w:jc w:val="left"/>
              <w:rPr>
                <w:rFonts w:ascii="宋体" w:hAnsi="宋体" w:cs="宋体"/>
                <w:kern w:val="0"/>
                <w:szCs w:val="21"/>
              </w:rPr>
            </w:pPr>
          </w:p>
        </w:tc>
      </w:tr>
    </w:tbl>
    <w:p w:rsidR="00635A47" w:rsidRDefault="00635A47">
      <w:bookmarkStart w:id="0" w:name="_GoBack"/>
      <w:bookmarkEnd w:id="0"/>
    </w:p>
    <w:sectPr w:rsidR="00635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E7" w:rsidRDefault="009A01E7" w:rsidP="00394CE8">
      <w:r>
        <w:separator/>
      </w:r>
    </w:p>
  </w:endnote>
  <w:endnote w:type="continuationSeparator" w:id="0">
    <w:p w:rsidR="009A01E7" w:rsidRDefault="009A01E7" w:rsidP="0039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E7" w:rsidRDefault="009A01E7" w:rsidP="00394CE8">
      <w:r>
        <w:separator/>
      </w:r>
    </w:p>
  </w:footnote>
  <w:footnote w:type="continuationSeparator" w:id="0">
    <w:p w:rsidR="009A01E7" w:rsidRDefault="009A01E7" w:rsidP="0039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F"/>
    <w:multiLevelType w:val="multilevel"/>
    <w:tmpl w:val="0000003F"/>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72"/>
    <w:multiLevelType w:val="singleLevel"/>
    <w:tmpl w:val="00000072"/>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C4"/>
    <w:rsid w:val="003661C4"/>
    <w:rsid w:val="00394CE8"/>
    <w:rsid w:val="00635A47"/>
    <w:rsid w:val="009A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289D3-4CA6-4207-925D-C7ADCCAB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C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C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4CE8"/>
    <w:rPr>
      <w:sz w:val="18"/>
      <w:szCs w:val="18"/>
    </w:rPr>
  </w:style>
  <w:style w:type="paragraph" w:styleId="a4">
    <w:name w:val="footer"/>
    <w:basedOn w:val="a"/>
    <w:link w:val="Char0"/>
    <w:uiPriority w:val="99"/>
    <w:unhideWhenUsed/>
    <w:rsid w:val="00394CE8"/>
    <w:pPr>
      <w:tabs>
        <w:tab w:val="center" w:pos="4153"/>
        <w:tab w:val="right" w:pos="8306"/>
      </w:tabs>
      <w:snapToGrid w:val="0"/>
      <w:jc w:val="left"/>
    </w:pPr>
    <w:rPr>
      <w:sz w:val="18"/>
      <w:szCs w:val="18"/>
    </w:rPr>
  </w:style>
  <w:style w:type="character" w:customStyle="1" w:styleId="Char0">
    <w:name w:val="页脚 Char"/>
    <w:basedOn w:val="a0"/>
    <w:link w:val="a4"/>
    <w:uiPriority w:val="99"/>
    <w:rsid w:val="00394CE8"/>
    <w:rPr>
      <w:sz w:val="18"/>
      <w:szCs w:val="18"/>
    </w:rPr>
  </w:style>
  <w:style w:type="paragraph" w:customStyle="1" w:styleId="1">
    <w:name w:val="列出段落1"/>
    <w:basedOn w:val="a"/>
    <w:rsid w:val="00394C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0</DocSecurity>
  <Lines>4</Lines>
  <Paragraphs>1</Paragraphs>
  <ScaleCrop>false</ScaleCrop>
  <Company>china</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2018-07-04T08:19:00Z</dcterms:created>
  <dcterms:modified xsi:type="dcterms:W3CDTF">2018-07-04T08:19:00Z</dcterms:modified>
</cp:coreProperties>
</file>