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0C5" w:rsidRDefault="008B40C5" w:rsidP="008B40C5">
      <w:pPr>
        <w:keepNext/>
        <w:pageBreakBefore/>
        <w:rPr>
          <w:rFonts w:ascii="黑体" w:eastAsia="黑体" w:hAnsi="黑体" w:cs="黑体"/>
          <w:sz w:val="24"/>
        </w:rPr>
      </w:pPr>
      <w:r>
        <w:rPr>
          <w:rFonts w:ascii="黑体" w:eastAsia="黑体" w:hAnsi="黑体" w:cs="黑体" w:hint="eastAsia"/>
          <w:sz w:val="24"/>
        </w:rPr>
        <w:t>8.2.6主要功能房间的采光系数满足现行国家标准《建筑采光设计标准》GB 50033的要求。（</w:t>
      </w:r>
      <w:proofErr w:type="gramStart"/>
      <w:r>
        <w:rPr>
          <w:rFonts w:ascii="黑体" w:eastAsia="黑体" w:hAnsi="黑体" w:cs="黑体" w:hint="eastAsia"/>
          <w:sz w:val="24"/>
        </w:rPr>
        <w:t>评价总分值</w:t>
      </w:r>
      <w:proofErr w:type="gramEnd"/>
      <w:r>
        <w:rPr>
          <w:rFonts w:ascii="黑体" w:eastAsia="黑体" w:hAnsi="黑体" w:cs="黑体" w:hint="eastAsia"/>
          <w:sz w:val="24"/>
        </w:rPr>
        <w:t>8分）</w:t>
      </w:r>
    </w:p>
    <w:p w:rsidR="008B40C5" w:rsidRDefault="008B40C5" w:rsidP="008B40C5">
      <w:pPr>
        <w:rPr>
          <w:rFonts w:ascii="黑体" w:eastAsia="黑体" w:hAnsi="黑体" w:cs="黑体"/>
          <w:sz w:val="24"/>
        </w:rPr>
      </w:pPr>
    </w:p>
    <w:p w:rsidR="008B40C5" w:rsidRDefault="008B40C5" w:rsidP="008B40C5">
      <w:pPr>
        <w:spacing w:line="288" w:lineRule="auto"/>
        <w:rPr>
          <w:rFonts w:ascii="宋体" w:hAnsi="宋体" w:cs="宋体"/>
          <w:b/>
          <w:bCs/>
          <w:kern w:val="0"/>
          <w:szCs w:val="21"/>
        </w:rPr>
      </w:pPr>
      <w:r>
        <w:rPr>
          <w:rFonts w:ascii="宋体" w:hAnsi="宋体" w:cs="宋体" w:hint="eastAsia"/>
          <w:b/>
          <w:bCs/>
          <w:kern w:val="0"/>
          <w:szCs w:val="21"/>
        </w:rPr>
        <w:t>参评情况</w:t>
      </w:r>
    </w:p>
    <w:p w:rsidR="008B40C5" w:rsidRDefault="008B40C5" w:rsidP="008B40C5">
      <w:pPr>
        <w:spacing w:line="288" w:lineRule="auto"/>
        <w:rPr>
          <w:rFonts w:ascii="宋体" w:hAnsi="宋体" w:cs="宋体"/>
          <w:kern w:val="0"/>
          <w:szCs w:val="21"/>
        </w:rPr>
      </w:pPr>
      <w:r>
        <w:rPr>
          <w:rFonts w:ascii="宋体" w:hAnsi="宋体" w:cs="宋体" w:hint="eastAsia"/>
          <w:kern w:val="0"/>
          <w:szCs w:val="21"/>
        </w:rPr>
        <w:t>□参评□</w:t>
      </w:r>
      <w:proofErr w:type="gramStart"/>
      <w:r>
        <w:rPr>
          <w:rFonts w:ascii="宋体" w:hAnsi="宋体" w:cs="宋体" w:hint="eastAsia"/>
          <w:kern w:val="0"/>
          <w:szCs w:val="21"/>
        </w:rPr>
        <w:t>不</w:t>
      </w:r>
      <w:proofErr w:type="gramEnd"/>
      <w:r>
        <w:rPr>
          <w:rFonts w:ascii="宋体" w:hAnsi="宋体" w:cs="宋体" w:hint="eastAsia"/>
          <w:kern w:val="0"/>
          <w:szCs w:val="21"/>
        </w:rPr>
        <w:t>参评，原因（□项目为不需要考虑天然采光的建筑时本条</w:t>
      </w:r>
      <w:proofErr w:type="gramStart"/>
      <w:r>
        <w:rPr>
          <w:rFonts w:ascii="宋体" w:hAnsi="宋体" w:cs="宋体" w:hint="eastAsia"/>
          <w:kern w:val="0"/>
          <w:szCs w:val="21"/>
        </w:rPr>
        <w:t>不</w:t>
      </w:r>
      <w:proofErr w:type="gramEnd"/>
      <w:r>
        <w:rPr>
          <w:rFonts w:ascii="宋体" w:hAnsi="宋体" w:cs="宋体" w:hint="eastAsia"/>
          <w:kern w:val="0"/>
          <w:szCs w:val="21"/>
        </w:rPr>
        <w:t>参评、□其他）</w:t>
      </w:r>
    </w:p>
    <w:p w:rsidR="008B40C5" w:rsidRDefault="008B40C5" w:rsidP="008B40C5">
      <w:pPr>
        <w:spacing w:line="288" w:lineRule="auto"/>
        <w:rPr>
          <w:rFonts w:ascii="宋体" w:hAnsi="宋体" w:cs="宋体"/>
          <w:kern w:val="0"/>
          <w:szCs w:val="21"/>
        </w:rPr>
      </w:pPr>
    </w:p>
    <w:p w:rsidR="008B40C5" w:rsidRDefault="008B40C5" w:rsidP="008B40C5">
      <w:pPr>
        <w:numPr>
          <w:ilvl w:val="0"/>
          <w:numId w:val="1"/>
        </w:numPr>
        <w:spacing w:line="288" w:lineRule="auto"/>
        <w:rPr>
          <w:rFonts w:ascii="宋体" w:hAnsi="宋体" w:cs="宋体"/>
          <w:b/>
          <w:bCs/>
          <w:kern w:val="0"/>
          <w:szCs w:val="21"/>
        </w:rPr>
      </w:pPr>
      <w:r>
        <w:rPr>
          <w:rFonts w:ascii="宋体" w:hAnsi="宋体" w:cs="宋体" w:hint="eastAsia"/>
          <w:b/>
          <w:bCs/>
          <w:kern w:val="0"/>
          <w:szCs w:val="21"/>
        </w:rPr>
        <w:t>得分自评</w:t>
      </w:r>
    </w:p>
    <w:p w:rsidR="008B40C5" w:rsidRDefault="008B40C5" w:rsidP="008B40C5">
      <w:pPr>
        <w:spacing w:line="288" w:lineRule="auto"/>
        <w:rPr>
          <w:rFonts w:ascii="宋体" w:hAnsi="宋体" w:cs="宋体"/>
          <w:b/>
          <w:szCs w:val="21"/>
          <w:lang w:val="zh-CN"/>
        </w:rPr>
      </w:pPr>
      <w:r>
        <w:rPr>
          <w:rFonts w:ascii="宋体" w:hAnsi="宋体" w:cs="宋体" w:hint="eastAsia"/>
          <w:b/>
          <w:szCs w:val="21"/>
          <w:lang w:val="zh-CN"/>
        </w:rPr>
        <w:t>□居住建筑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1"/>
        <w:gridCol w:w="1590"/>
        <w:gridCol w:w="1843"/>
      </w:tblGrid>
      <w:tr w:rsidR="008B40C5" w:rsidTr="005F4190">
        <w:trPr>
          <w:trHeight w:val="397"/>
          <w:tblHeader/>
        </w:trPr>
        <w:tc>
          <w:tcPr>
            <w:tcW w:w="6081" w:type="dxa"/>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评价内容</w:t>
            </w:r>
          </w:p>
        </w:tc>
        <w:tc>
          <w:tcPr>
            <w:tcW w:w="1590" w:type="dxa"/>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评价分值（分）</w:t>
            </w:r>
          </w:p>
        </w:tc>
        <w:tc>
          <w:tcPr>
            <w:tcW w:w="1843" w:type="dxa"/>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自评得分（分）</w:t>
            </w:r>
          </w:p>
        </w:tc>
      </w:tr>
      <w:tr w:rsidR="008B40C5" w:rsidTr="005F4190">
        <w:trPr>
          <w:trHeight w:val="397"/>
        </w:trPr>
        <w:tc>
          <w:tcPr>
            <w:tcW w:w="6081" w:type="dxa"/>
            <w:vAlign w:val="center"/>
          </w:tcPr>
          <w:p w:rsidR="008B40C5" w:rsidRDefault="008B40C5" w:rsidP="005F4190">
            <w:pPr>
              <w:pStyle w:val="a5"/>
              <w:spacing w:line="288" w:lineRule="auto"/>
              <w:jc w:val="left"/>
              <w:outlineLvl w:val="9"/>
              <w:rPr>
                <w:rFonts w:ascii="宋体" w:hAnsi="宋体" w:cs="宋体"/>
                <w:bCs/>
                <w:iCs/>
                <w:sz w:val="21"/>
                <w:szCs w:val="21"/>
              </w:rPr>
            </w:pPr>
            <w:r>
              <w:rPr>
                <w:rFonts w:ascii="宋体" w:hAnsi="宋体" w:cs="宋体" w:hint="eastAsia"/>
                <w:bCs/>
                <w:iCs/>
                <w:sz w:val="21"/>
                <w:szCs w:val="21"/>
              </w:rPr>
              <w:t>卧室、起居室的窗地面积比达到1/6</w:t>
            </w:r>
          </w:p>
          <w:p w:rsidR="008B40C5" w:rsidRDefault="008B40C5" w:rsidP="005F4190">
            <w:pPr>
              <w:pStyle w:val="a5"/>
              <w:spacing w:line="288" w:lineRule="auto"/>
              <w:jc w:val="left"/>
              <w:outlineLvl w:val="9"/>
              <w:rPr>
                <w:rFonts w:ascii="宋体" w:hAnsi="宋体" w:cs="宋体"/>
                <w:bCs/>
                <w:iCs/>
                <w:sz w:val="21"/>
                <w:szCs w:val="21"/>
              </w:rPr>
            </w:pPr>
            <w:r>
              <w:rPr>
                <w:rFonts w:ascii="宋体" w:hAnsi="宋体" w:cs="宋体" w:hint="eastAsia"/>
                <w:bCs/>
                <w:iCs/>
                <w:sz w:val="21"/>
                <w:szCs w:val="21"/>
              </w:rPr>
              <w:t>或</w:t>
            </w:r>
          </w:p>
          <w:p w:rsidR="008B40C5" w:rsidRDefault="008B40C5" w:rsidP="005F4190">
            <w:pPr>
              <w:pStyle w:val="a5"/>
              <w:spacing w:line="288" w:lineRule="auto"/>
              <w:jc w:val="left"/>
              <w:outlineLvl w:val="9"/>
              <w:rPr>
                <w:rFonts w:ascii="宋体" w:hAnsi="宋体" w:cs="宋体"/>
                <w:bCs/>
                <w:iCs/>
                <w:sz w:val="21"/>
                <w:szCs w:val="21"/>
              </w:rPr>
            </w:pPr>
            <w:r>
              <w:rPr>
                <w:rFonts w:ascii="宋体" w:hAnsi="宋体" w:cs="宋体" w:hint="eastAsia"/>
                <w:bCs/>
                <w:iCs/>
                <w:sz w:val="21"/>
                <w:szCs w:val="21"/>
              </w:rPr>
              <w:t>采光系数达到现行国家标准《建筑采光设计标准》GB50033的规定值</w:t>
            </w:r>
          </w:p>
        </w:tc>
        <w:tc>
          <w:tcPr>
            <w:tcW w:w="1590"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6</w:t>
            </w:r>
          </w:p>
        </w:tc>
        <w:tc>
          <w:tcPr>
            <w:tcW w:w="1843" w:type="dxa"/>
            <w:vMerge w:val="restart"/>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6081" w:type="dxa"/>
            <w:vAlign w:val="center"/>
          </w:tcPr>
          <w:p w:rsidR="008B40C5" w:rsidRDefault="008B40C5" w:rsidP="005F4190">
            <w:pPr>
              <w:pStyle w:val="a5"/>
              <w:spacing w:line="288" w:lineRule="auto"/>
              <w:jc w:val="left"/>
              <w:outlineLvl w:val="9"/>
              <w:rPr>
                <w:rFonts w:ascii="宋体" w:hAnsi="宋体" w:cs="宋体"/>
                <w:bCs/>
                <w:iCs/>
                <w:sz w:val="21"/>
                <w:szCs w:val="21"/>
              </w:rPr>
            </w:pPr>
            <w:r>
              <w:rPr>
                <w:rFonts w:ascii="宋体" w:hAnsi="宋体" w:cs="宋体" w:hint="eastAsia"/>
                <w:bCs/>
                <w:iCs/>
                <w:sz w:val="21"/>
                <w:szCs w:val="21"/>
              </w:rPr>
              <w:t>卧室、起居室的窗地面积比达到1/5</w:t>
            </w:r>
          </w:p>
          <w:p w:rsidR="008B40C5" w:rsidRDefault="008B40C5" w:rsidP="005F4190">
            <w:pPr>
              <w:pStyle w:val="a5"/>
              <w:spacing w:line="288" w:lineRule="auto"/>
              <w:jc w:val="left"/>
              <w:outlineLvl w:val="9"/>
              <w:rPr>
                <w:rFonts w:ascii="宋体" w:hAnsi="宋体" w:cs="宋体"/>
                <w:bCs/>
                <w:iCs/>
                <w:sz w:val="21"/>
                <w:szCs w:val="21"/>
              </w:rPr>
            </w:pPr>
            <w:r>
              <w:rPr>
                <w:rFonts w:ascii="宋体" w:hAnsi="宋体" w:cs="宋体" w:hint="eastAsia"/>
                <w:bCs/>
                <w:iCs/>
                <w:sz w:val="21"/>
                <w:szCs w:val="21"/>
              </w:rPr>
              <w:t>或</w:t>
            </w:r>
          </w:p>
          <w:p w:rsidR="008B40C5" w:rsidRDefault="008B40C5" w:rsidP="005F4190">
            <w:pPr>
              <w:pStyle w:val="a5"/>
              <w:spacing w:line="288" w:lineRule="auto"/>
              <w:jc w:val="left"/>
              <w:outlineLvl w:val="9"/>
              <w:rPr>
                <w:rFonts w:ascii="宋体" w:hAnsi="宋体" w:cs="宋体"/>
                <w:bCs/>
                <w:iCs/>
                <w:sz w:val="21"/>
                <w:szCs w:val="21"/>
              </w:rPr>
            </w:pPr>
            <w:r>
              <w:rPr>
                <w:rFonts w:ascii="宋体" w:hAnsi="宋体" w:cs="宋体" w:hint="eastAsia"/>
                <w:bCs/>
                <w:iCs/>
                <w:sz w:val="21"/>
                <w:szCs w:val="21"/>
              </w:rPr>
              <w:t>采光系数比现行国家标准《建筑采光设计标准》GB50033的规定值高一个等级</w:t>
            </w:r>
          </w:p>
        </w:tc>
        <w:tc>
          <w:tcPr>
            <w:tcW w:w="1590"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8</w:t>
            </w:r>
          </w:p>
        </w:tc>
        <w:tc>
          <w:tcPr>
            <w:tcW w:w="1843" w:type="dxa"/>
            <w:vMerge/>
            <w:vAlign w:val="center"/>
          </w:tcPr>
          <w:p w:rsidR="008B40C5" w:rsidRDefault="008B40C5" w:rsidP="005F4190">
            <w:pPr>
              <w:pStyle w:val="a5"/>
              <w:spacing w:line="288" w:lineRule="auto"/>
              <w:jc w:val="center"/>
              <w:outlineLvl w:val="9"/>
              <w:rPr>
                <w:rFonts w:ascii="宋体" w:hAnsi="宋体" w:cs="宋体"/>
                <w:bCs/>
                <w:iCs/>
                <w:sz w:val="21"/>
                <w:szCs w:val="21"/>
              </w:rPr>
            </w:pPr>
          </w:p>
        </w:tc>
      </w:tr>
    </w:tbl>
    <w:p w:rsidR="008B40C5" w:rsidRDefault="008B40C5" w:rsidP="008B40C5">
      <w:pPr>
        <w:spacing w:line="288" w:lineRule="auto"/>
        <w:rPr>
          <w:rFonts w:ascii="宋体" w:hAnsi="宋体" w:cs="宋体"/>
          <w:kern w:val="0"/>
          <w:szCs w:val="21"/>
        </w:rPr>
      </w:pPr>
    </w:p>
    <w:p w:rsidR="008B40C5" w:rsidRDefault="008B40C5" w:rsidP="008B40C5">
      <w:pPr>
        <w:spacing w:line="288" w:lineRule="auto"/>
        <w:rPr>
          <w:rFonts w:ascii="宋体" w:hAnsi="宋体" w:cs="宋体"/>
          <w:b/>
          <w:szCs w:val="21"/>
          <w:lang w:val="zh-CN"/>
        </w:rPr>
      </w:pPr>
      <w:r>
        <w:rPr>
          <w:rFonts w:ascii="宋体" w:hAnsi="宋体" w:cs="宋体" w:hint="eastAsia"/>
          <w:b/>
          <w:szCs w:val="21"/>
          <w:lang w:val="zh-CN"/>
        </w:rPr>
        <w:t>□公共建筑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3"/>
        <w:gridCol w:w="2618"/>
        <w:gridCol w:w="1770"/>
        <w:gridCol w:w="1663"/>
      </w:tblGrid>
      <w:tr w:rsidR="008B40C5" w:rsidTr="005F4190">
        <w:trPr>
          <w:trHeight w:val="397"/>
          <w:tblHeader/>
        </w:trPr>
        <w:tc>
          <w:tcPr>
            <w:tcW w:w="6081" w:type="dxa"/>
            <w:gridSpan w:val="2"/>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评价内容</w:t>
            </w:r>
          </w:p>
        </w:tc>
        <w:tc>
          <w:tcPr>
            <w:tcW w:w="1770" w:type="dxa"/>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评价分值（分）</w:t>
            </w:r>
          </w:p>
        </w:tc>
        <w:tc>
          <w:tcPr>
            <w:tcW w:w="1663" w:type="dxa"/>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自评得分（分）</w:t>
            </w:r>
          </w:p>
        </w:tc>
      </w:tr>
      <w:tr w:rsidR="008B40C5" w:rsidTr="005F4190">
        <w:trPr>
          <w:trHeight w:val="397"/>
        </w:trPr>
        <w:tc>
          <w:tcPr>
            <w:tcW w:w="3463" w:type="dxa"/>
            <w:vMerge w:val="restart"/>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主要功能房间采光系数满足现行国家标准《建筑采光设计标准》GB 50033要求的面积比例R</w:t>
            </w:r>
            <w:r>
              <w:rPr>
                <w:rFonts w:ascii="宋体" w:hAnsi="宋体" w:cs="宋体" w:hint="eastAsia"/>
                <w:bCs/>
                <w:iCs/>
                <w:sz w:val="21"/>
                <w:szCs w:val="21"/>
                <w:vertAlign w:val="subscript"/>
              </w:rPr>
              <w:t>A</w:t>
            </w:r>
          </w:p>
        </w:tc>
        <w:tc>
          <w:tcPr>
            <w:tcW w:w="2618"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60%</w:t>
            </w:r>
            <w:r>
              <w:rPr>
                <w:rFonts w:ascii="宋体" w:hAnsi="宋体" w:cs="宋体" w:hint="eastAsia"/>
                <w:bCs/>
                <w:sz w:val="21"/>
                <w:szCs w:val="21"/>
              </w:rPr>
              <w:t>≤</w:t>
            </w:r>
            <w:r>
              <w:rPr>
                <w:rFonts w:ascii="宋体" w:hAnsi="宋体" w:cs="宋体" w:hint="eastAsia"/>
                <w:bCs/>
                <w:iCs/>
                <w:sz w:val="21"/>
                <w:szCs w:val="21"/>
              </w:rPr>
              <w:t>R</w:t>
            </w:r>
            <w:r>
              <w:rPr>
                <w:rFonts w:ascii="宋体" w:hAnsi="宋体" w:cs="宋体" w:hint="eastAsia"/>
                <w:bCs/>
                <w:iCs/>
                <w:sz w:val="21"/>
                <w:szCs w:val="21"/>
                <w:vertAlign w:val="subscript"/>
              </w:rPr>
              <w:t>A</w:t>
            </w:r>
            <w:r>
              <w:rPr>
                <w:rFonts w:ascii="宋体" w:hAnsi="宋体" w:cs="宋体" w:hint="eastAsia"/>
                <w:bCs/>
                <w:iCs/>
                <w:sz w:val="21"/>
                <w:szCs w:val="21"/>
              </w:rPr>
              <w:t>&lt;65%</w:t>
            </w:r>
          </w:p>
        </w:tc>
        <w:tc>
          <w:tcPr>
            <w:tcW w:w="1770"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4</w:t>
            </w:r>
          </w:p>
        </w:tc>
        <w:tc>
          <w:tcPr>
            <w:tcW w:w="1663" w:type="dxa"/>
            <w:vMerge w:val="restart"/>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3463" w:type="dxa"/>
            <w:vMerge/>
            <w:vAlign w:val="center"/>
          </w:tcPr>
          <w:p w:rsidR="008B40C5" w:rsidRDefault="008B40C5" w:rsidP="005F4190">
            <w:pPr>
              <w:pStyle w:val="a5"/>
              <w:spacing w:line="288" w:lineRule="auto"/>
              <w:jc w:val="center"/>
              <w:rPr>
                <w:rFonts w:ascii="宋体" w:hAnsi="宋体" w:cs="宋体"/>
                <w:bCs/>
                <w:iCs/>
                <w:sz w:val="21"/>
                <w:szCs w:val="21"/>
              </w:rPr>
            </w:pPr>
          </w:p>
        </w:tc>
        <w:tc>
          <w:tcPr>
            <w:tcW w:w="2618"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65%</w:t>
            </w:r>
            <w:r>
              <w:rPr>
                <w:rFonts w:ascii="宋体" w:hAnsi="宋体" w:cs="宋体" w:hint="eastAsia"/>
                <w:bCs/>
                <w:sz w:val="21"/>
                <w:szCs w:val="21"/>
              </w:rPr>
              <w:t>≤</w:t>
            </w:r>
            <w:r>
              <w:rPr>
                <w:rFonts w:ascii="宋体" w:hAnsi="宋体" w:cs="宋体" w:hint="eastAsia"/>
                <w:bCs/>
                <w:iCs/>
                <w:sz w:val="21"/>
                <w:szCs w:val="21"/>
              </w:rPr>
              <w:t>R</w:t>
            </w:r>
            <w:r>
              <w:rPr>
                <w:rFonts w:ascii="宋体" w:hAnsi="宋体" w:cs="宋体" w:hint="eastAsia"/>
                <w:bCs/>
                <w:iCs/>
                <w:sz w:val="21"/>
                <w:szCs w:val="21"/>
                <w:vertAlign w:val="subscript"/>
              </w:rPr>
              <w:t>A</w:t>
            </w:r>
            <w:r>
              <w:rPr>
                <w:rFonts w:ascii="宋体" w:hAnsi="宋体" w:cs="宋体" w:hint="eastAsia"/>
                <w:bCs/>
                <w:iCs/>
                <w:sz w:val="21"/>
                <w:szCs w:val="21"/>
              </w:rPr>
              <w:t>&lt;70%</w:t>
            </w:r>
          </w:p>
        </w:tc>
        <w:tc>
          <w:tcPr>
            <w:tcW w:w="1770"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5</w:t>
            </w:r>
          </w:p>
        </w:tc>
        <w:tc>
          <w:tcPr>
            <w:tcW w:w="1663" w:type="dxa"/>
            <w:vMerge/>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3463" w:type="dxa"/>
            <w:vMerge/>
            <w:vAlign w:val="center"/>
          </w:tcPr>
          <w:p w:rsidR="008B40C5" w:rsidRDefault="008B40C5" w:rsidP="005F4190">
            <w:pPr>
              <w:pStyle w:val="a5"/>
              <w:spacing w:line="288" w:lineRule="auto"/>
              <w:jc w:val="center"/>
              <w:rPr>
                <w:rFonts w:ascii="宋体" w:hAnsi="宋体" w:cs="宋体"/>
                <w:bCs/>
                <w:iCs/>
                <w:sz w:val="21"/>
                <w:szCs w:val="21"/>
              </w:rPr>
            </w:pPr>
          </w:p>
        </w:tc>
        <w:tc>
          <w:tcPr>
            <w:tcW w:w="2618"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70%</w:t>
            </w:r>
            <w:r>
              <w:rPr>
                <w:rFonts w:ascii="宋体" w:hAnsi="宋体" w:cs="宋体" w:hint="eastAsia"/>
                <w:bCs/>
                <w:sz w:val="21"/>
                <w:szCs w:val="21"/>
              </w:rPr>
              <w:t>≤</w:t>
            </w:r>
            <w:r>
              <w:rPr>
                <w:rFonts w:ascii="宋体" w:hAnsi="宋体" w:cs="宋体" w:hint="eastAsia"/>
                <w:bCs/>
                <w:iCs/>
                <w:sz w:val="21"/>
                <w:szCs w:val="21"/>
              </w:rPr>
              <w:t>R</w:t>
            </w:r>
            <w:r>
              <w:rPr>
                <w:rFonts w:ascii="宋体" w:hAnsi="宋体" w:cs="宋体" w:hint="eastAsia"/>
                <w:bCs/>
                <w:iCs/>
                <w:sz w:val="21"/>
                <w:szCs w:val="21"/>
                <w:vertAlign w:val="subscript"/>
              </w:rPr>
              <w:t>A</w:t>
            </w:r>
            <w:r>
              <w:rPr>
                <w:rFonts w:ascii="宋体" w:hAnsi="宋体" w:cs="宋体" w:hint="eastAsia"/>
                <w:bCs/>
                <w:iCs/>
                <w:sz w:val="21"/>
                <w:szCs w:val="21"/>
              </w:rPr>
              <w:t>&lt;75%</w:t>
            </w:r>
          </w:p>
        </w:tc>
        <w:tc>
          <w:tcPr>
            <w:tcW w:w="1770"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6</w:t>
            </w:r>
          </w:p>
        </w:tc>
        <w:tc>
          <w:tcPr>
            <w:tcW w:w="1663" w:type="dxa"/>
            <w:vMerge/>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3463" w:type="dxa"/>
            <w:vMerge/>
            <w:vAlign w:val="center"/>
          </w:tcPr>
          <w:p w:rsidR="008B40C5" w:rsidRDefault="008B40C5" w:rsidP="005F4190">
            <w:pPr>
              <w:pStyle w:val="a5"/>
              <w:spacing w:line="288" w:lineRule="auto"/>
              <w:jc w:val="center"/>
              <w:rPr>
                <w:rFonts w:ascii="宋体" w:hAnsi="宋体" w:cs="宋体"/>
                <w:bCs/>
                <w:iCs/>
                <w:sz w:val="21"/>
                <w:szCs w:val="21"/>
              </w:rPr>
            </w:pPr>
          </w:p>
        </w:tc>
        <w:tc>
          <w:tcPr>
            <w:tcW w:w="2618"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75%</w:t>
            </w:r>
            <w:r>
              <w:rPr>
                <w:rFonts w:ascii="宋体" w:hAnsi="宋体" w:cs="宋体" w:hint="eastAsia"/>
                <w:bCs/>
                <w:sz w:val="21"/>
                <w:szCs w:val="21"/>
              </w:rPr>
              <w:t>≤</w:t>
            </w:r>
            <w:r>
              <w:rPr>
                <w:rFonts w:ascii="宋体" w:hAnsi="宋体" w:cs="宋体" w:hint="eastAsia"/>
                <w:bCs/>
                <w:iCs/>
                <w:sz w:val="21"/>
                <w:szCs w:val="21"/>
              </w:rPr>
              <w:t>R</w:t>
            </w:r>
            <w:r>
              <w:rPr>
                <w:rFonts w:ascii="宋体" w:hAnsi="宋体" w:cs="宋体" w:hint="eastAsia"/>
                <w:bCs/>
                <w:iCs/>
                <w:sz w:val="21"/>
                <w:szCs w:val="21"/>
                <w:vertAlign w:val="subscript"/>
              </w:rPr>
              <w:t>A</w:t>
            </w:r>
            <w:r>
              <w:rPr>
                <w:rFonts w:ascii="宋体" w:hAnsi="宋体" w:cs="宋体" w:hint="eastAsia"/>
                <w:bCs/>
                <w:iCs/>
                <w:sz w:val="21"/>
                <w:szCs w:val="21"/>
              </w:rPr>
              <w:t>&lt;80%</w:t>
            </w:r>
          </w:p>
        </w:tc>
        <w:tc>
          <w:tcPr>
            <w:tcW w:w="1770"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7</w:t>
            </w:r>
          </w:p>
        </w:tc>
        <w:tc>
          <w:tcPr>
            <w:tcW w:w="1663" w:type="dxa"/>
            <w:vMerge/>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3463" w:type="dxa"/>
            <w:vMerge/>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618"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≥80%</w:t>
            </w:r>
          </w:p>
        </w:tc>
        <w:tc>
          <w:tcPr>
            <w:tcW w:w="1770" w:type="dxa"/>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8</w:t>
            </w:r>
          </w:p>
        </w:tc>
        <w:tc>
          <w:tcPr>
            <w:tcW w:w="1663" w:type="dxa"/>
            <w:vMerge/>
            <w:vAlign w:val="center"/>
          </w:tcPr>
          <w:p w:rsidR="008B40C5" w:rsidRDefault="008B40C5" w:rsidP="005F4190">
            <w:pPr>
              <w:pStyle w:val="a5"/>
              <w:spacing w:line="288" w:lineRule="auto"/>
              <w:jc w:val="center"/>
              <w:outlineLvl w:val="9"/>
              <w:rPr>
                <w:rFonts w:ascii="宋体" w:hAnsi="宋体" w:cs="宋体"/>
                <w:bCs/>
                <w:iCs/>
                <w:sz w:val="21"/>
                <w:szCs w:val="21"/>
              </w:rPr>
            </w:pPr>
          </w:p>
        </w:tc>
      </w:tr>
    </w:tbl>
    <w:p w:rsidR="008B40C5" w:rsidRDefault="008B40C5" w:rsidP="008B40C5">
      <w:pPr>
        <w:spacing w:line="288" w:lineRule="auto"/>
        <w:rPr>
          <w:rFonts w:ascii="宋体" w:hAnsi="宋体" w:cs="宋体"/>
          <w:kern w:val="0"/>
          <w:szCs w:val="21"/>
        </w:rPr>
      </w:pPr>
    </w:p>
    <w:p w:rsidR="008B40C5" w:rsidRDefault="008B40C5" w:rsidP="008B40C5">
      <w:pPr>
        <w:numPr>
          <w:ilvl w:val="0"/>
          <w:numId w:val="1"/>
        </w:numPr>
        <w:spacing w:line="288" w:lineRule="auto"/>
        <w:rPr>
          <w:rFonts w:ascii="宋体" w:hAnsi="宋体" w:cs="宋体"/>
          <w:b/>
          <w:bCs/>
          <w:kern w:val="0"/>
          <w:szCs w:val="21"/>
        </w:rPr>
      </w:pPr>
      <w:r>
        <w:rPr>
          <w:rFonts w:ascii="宋体" w:hAnsi="宋体" w:cs="宋体" w:hint="eastAsia"/>
          <w:b/>
          <w:bCs/>
          <w:kern w:val="0"/>
          <w:szCs w:val="21"/>
        </w:rPr>
        <w:t>评价要点</w:t>
      </w:r>
    </w:p>
    <w:p w:rsidR="008B40C5" w:rsidRDefault="008B40C5" w:rsidP="008B40C5">
      <w:pPr>
        <w:spacing w:line="288" w:lineRule="auto"/>
        <w:rPr>
          <w:rFonts w:ascii="宋体" w:hAnsi="宋体" w:cs="宋体"/>
          <w:kern w:val="0"/>
          <w:szCs w:val="21"/>
        </w:rPr>
      </w:pPr>
      <w:r>
        <w:rPr>
          <w:rFonts w:ascii="宋体" w:hAnsi="宋体" w:cs="宋体" w:hint="eastAsia"/>
          <w:kern w:val="0"/>
          <w:szCs w:val="21"/>
        </w:rPr>
        <w:t>项目所在地：处于类光气候区</w:t>
      </w:r>
    </w:p>
    <w:p w:rsidR="008B40C5" w:rsidRDefault="008B40C5" w:rsidP="008B40C5">
      <w:pPr>
        <w:spacing w:line="288" w:lineRule="auto"/>
        <w:ind w:left="-54" w:hanging="55"/>
        <w:rPr>
          <w:rFonts w:ascii="宋体" w:hAnsi="宋体" w:cs="宋体"/>
          <w:b/>
          <w:szCs w:val="21"/>
          <w:lang w:val="zh-CN"/>
        </w:rPr>
      </w:pPr>
      <w:r>
        <w:rPr>
          <w:rFonts w:ascii="宋体" w:hAnsi="宋体" w:cs="宋体" w:hint="eastAsia"/>
          <w:b/>
          <w:szCs w:val="21"/>
          <w:lang w:val="zh-CN"/>
        </w:rPr>
        <w:t>□居住建筑</w:t>
      </w:r>
    </w:p>
    <w:p w:rsidR="008B40C5" w:rsidRDefault="008B40C5" w:rsidP="008B40C5">
      <w:pPr>
        <w:spacing w:line="288" w:lineRule="auto"/>
        <w:rPr>
          <w:rFonts w:ascii="宋体" w:hAnsi="宋体" w:cs="宋体"/>
          <w:szCs w:val="21"/>
          <w:lang w:val="zh-CN"/>
        </w:rPr>
      </w:pPr>
      <w:r>
        <w:rPr>
          <w:rFonts w:ascii="宋体" w:hAnsi="宋体" w:cs="宋体" w:hint="eastAsia"/>
          <w:szCs w:val="21"/>
          <w:lang w:val="zh-CN"/>
        </w:rPr>
        <w:t>卧室、起居室的窗地面积比</w:t>
      </w:r>
      <w:r>
        <w:rPr>
          <w:rFonts w:ascii="宋体" w:hAnsi="宋体" w:cs="宋体" w:hint="eastAsia"/>
          <w:szCs w:val="21"/>
        </w:rPr>
        <w:t>/采光系数</w:t>
      </w:r>
      <w:r>
        <w:rPr>
          <w:rFonts w:ascii="宋体" w:hAnsi="宋体" w:cs="宋体" w:hint="eastAsia"/>
          <w:szCs w:val="21"/>
          <w:lang w:val="zh-CN"/>
        </w:rPr>
        <w:t>统计列表（</w:t>
      </w:r>
      <w:r>
        <w:rPr>
          <w:rFonts w:ascii="宋体" w:hAnsi="宋体" w:cs="宋体" w:hint="eastAsia"/>
          <w:szCs w:val="21"/>
          <w:u w:val="single"/>
          <w:lang w:val="zh-CN"/>
        </w:rPr>
        <w:t>____</w:t>
      </w:r>
      <w:r>
        <w:rPr>
          <w:rFonts w:ascii="宋体" w:hAnsi="宋体" w:cs="宋体" w:hint="eastAsia"/>
          <w:szCs w:val="21"/>
          <w:lang w:val="zh-CN"/>
        </w:rPr>
        <w:t>户型）：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264"/>
        <w:gridCol w:w="3269"/>
        <w:gridCol w:w="2425"/>
        <w:gridCol w:w="1323"/>
      </w:tblGrid>
      <w:tr w:rsidR="008B40C5" w:rsidTr="005F4190">
        <w:trPr>
          <w:cantSplit/>
          <w:trHeight w:val="397"/>
          <w:tblHeader/>
        </w:trPr>
        <w:tc>
          <w:tcPr>
            <w:tcW w:w="1233" w:type="dxa"/>
            <w:vMerge w:val="restart"/>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房间类型</w:t>
            </w:r>
          </w:p>
        </w:tc>
        <w:tc>
          <w:tcPr>
            <w:tcW w:w="1264" w:type="dxa"/>
            <w:vMerge w:val="restart"/>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采光等级</w:t>
            </w:r>
          </w:p>
        </w:tc>
        <w:tc>
          <w:tcPr>
            <w:tcW w:w="3269" w:type="dxa"/>
            <w:vMerge w:val="restart"/>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外窗类型（侧窗、矩形天窗、锯齿形天窗、平天窗）</w:t>
            </w:r>
          </w:p>
        </w:tc>
        <w:tc>
          <w:tcPr>
            <w:tcW w:w="3748" w:type="dxa"/>
            <w:gridSpan w:val="2"/>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窗地面积比（%）或采光系数</w:t>
            </w:r>
          </w:p>
        </w:tc>
      </w:tr>
      <w:tr w:rsidR="008B40C5" w:rsidTr="005F4190">
        <w:trPr>
          <w:cantSplit/>
          <w:trHeight w:val="397"/>
          <w:tblHeader/>
        </w:trPr>
        <w:tc>
          <w:tcPr>
            <w:tcW w:w="1233" w:type="dxa"/>
            <w:vMerge/>
            <w:vAlign w:val="center"/>
          </w:tcPr>
          <w:p w:rsidR="008B40C5" w:rsidRDefault="008B40C5" w:rsidP="005F4190">
            <w:pPr>
              <w:pStyle w:val="a5"/>
              <w:spacing w:line="288" w:lineRule="auto"/>
              <w:jc w:val="center"/>
              <w:outlineLvl w:val="9"/>
              <w:rPr>
                <w:rFonts w:ascii="宋体" w:hAnsi="宋体" w:cs="宋体"/>
                <w:bCs/>
                <w:sz w:val="21"/>
                <w:szCs w:val="21"/>
              </w:rPr>
            </w:pPr>
          </w:p>
        </w:tc>
        <w:tc>
          <w:tcPr>
            <w:tcW w:w="1264" w:type="dxa"/>
            <w:vMerge/>
            <w:vAlign w:val="center"/>
          </w:tcPr>
          <w:p w:rsidR="008B40C5" w:rsidRDefault="008B40C5" w:rsidP="005F4190">
            <w:pPr>
              <w:pStyle w:val="a5"/>
              <w:spacing w:line="288" w:lineRule="auto"/>
              <w:jc w:val="center"/>
              <w:outlineLvl w:val="9"/>
              <w:rPr>
                <w:rFonts w:ascii="宋体" w:hAnsi="宋体" w:cs="宋体"/>
                <w:bCs/>
                <w:sz w:val="21"/>
                <w:szCs w:val="21"/>
              </w:rPr>
            </w:pPr>
          </w:p>
        </w:tc>
        <w:tc>
          <w:tcPr>
            <w:tcW w:w="3269" w:type="dxa"/>
            <w:vMerge/>
            <w:vAlign w:val="center"/>
          </w:tcPr>
          <w:p w:rsidR="008B40C5" w:rsidRDefault="008B40C5" w:rsidP="005F4190">
            <w:pPr>
              <w:pStyle w:val="a5"/>
              <w:spacing w:line="288" w:lineRule="auto"/>
              <w:jc w:val="center"/>
              <w:outlineLvl w:val="9"/>
              <w:rPr>
                <w:rFonts w:ascii="宋体" w:hAnsi="宋体" w:cs="宋体"/>
                <w:bCs/>
                <w:sz w:val="21"/>
                <w:szCs w:val="21"/>
              </w:rPr>
            </w:pPr>
          </w:p>
        </w:tc>
        <w:tc>
          <w:tcPr>
            <w:tcW w:w="2425" w:type="dxa"/>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实际值</w:t>
            </w:r>
          </w:p>
        </w:tc>
        <w:tc>
          <w:tcPr>
            <w:tcW w:w="1323" w:type="dxa"/>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标准要求</w:t>
            </w:r>
          </w:p>
        </w:tc>
      </w:tr>
      <w:tr w:rsidR="008B40C5" w:rsidTr="005F4190">
        <w:trPr>
          <w:cantSplit/>
          <w:trHeight w:val="397"/>
        </w:trPr>
        <w:tc>
          <w:tcPr>
            <w:tcW w:w="1233"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264"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69"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25"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323" w:type="dxa"/>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cantSplit/>
          <w:trHeight w:val="397"/>
        </w:trPr>
        <w:tc>
          <w:tcPr>
            <w:tcW w:w="1233"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264"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69"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25"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323" w:type="dxa"/>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cantSplit/>
          <w:trHeight w:val="397"/>
        </w:trPr>
        <w:tc>
          <w:tcPr>
            <w:tcW w:w="1233"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264"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69"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25"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323" w:type="dxa"/>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cantSplit/>
          <w:trHeight w:val="397"/>
        </w:trPr>
        <w:tc>
          <w:tcPr>
            <w:tcW w:w="1233"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264"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69"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25" w:type="dxa"/>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1323" w:type="dxa"/>
            <w:vAlign w:val="center"/>
          </w:tcPr>
          <w:p w:rsidR="008B40C5" w:rsidRDefault="008B40C5" w:rsidP="005F4190">
            <w:pPr>
              <w:pStyle w:val="a5"/>
              <w:spacing w:line="288" w:lineRule="auto"/>
              <w:jc w:val="center"/>
              <w:outlineLvl w:val="9"/>
              <w:rPr>
                <w:rFonts w:ascii="宋体" w:hAnsi="宋体" w:cs="宋体"/>
                <w:bCs/>
                <w:iCs/>
                <w:sz w:val="21"/>
                <w:szCs w:val="21"/>
              </w:rPr>
            </w:pPr>
          </w:p>
        </w:tc>
      </w:tr>
    </w:tbl>
    <w:p w:rsidR="008B40C5" w:rsidRDefault="008B40C5" w:rsidP="008B40C5">
      <w:pPr>
        <w:spacing w:line="288" w:lineRule="auto"/>
        <w:rPr>
          <w:rFonts w:ascii="宋体" w:hAnsi="宋体" w:cs="宋体"/>
          <w:szCs w:val="21"/>
          <w:lang w:val="zh-CN"/>
        </w:rPr>
      </w:pPr>
    </w:p>
    <w:p w:rsidR="008B40C5" w:rsidRDefault="008B40C5" w:rsidP="008B40C5">
      <w:pPr>
        <w:ind w:left="-54" w:hanging="55"/>
        <w:rPr>
          <w:rFonts w:ascii="宋体" w:hAnsi="宋体" w:cs="宋体"/>
          <w:b/>
          <w:szCs w:val="21"/>
        </w:rPr>
      </w:pPr>
      <w:r>
        <w:rPr>
          <w:rFonts w:ascii="宋体" w:hAnsi="宋体" w:cs="宋体" w:hint="eastAsia"/>
          <w:b/>
          <w:szCs w:val="21"/>
          <w:lang w:val="zh-CN"/>
        </w:rPr>
        <w:t>□公共建筑</w:t>
      </w:r>
    </w:p>
    <w:p w:rsidR="008B40C5" w:rsidRDefault="008B40C5" w:rsidP="008B40C5">
      <w:pPr>
        <w:spacing w:line="288" w:lineRule="auto"/>
        <w:rPr>
          <w:rFonts w:ascii="宋体" w:hAnsi="宋体" w:cs="宋体"/>
          <w:szCs w:val="21"/>
          <w:lang w:val="zh-CN"/>
        </w:rPr>
      </w:pPr>
      <w:r>
        <w:rPr>
          <w:rFonts w:ascii="宋体" w:hAnsi="宋体" w:cs="宋体" w:hint="eastAsia"/>
          <w:szCs w:val="21"/>
          <w:lang w:val="zh-CN"/>
        </w:rPr>
        <w:t>主要功能房间采光系数达标情况统计列表：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2"/>
        <w:gridCol w:w="2447"/>
        <w:gridCol w:w="2447"/>
        <w:gridCol w:w="3258"/>
      </w:tblGrid>
      <w:tr w:rsidR="008B40C5" w:rsidTr="005F4190">
        <w:trPr>
          <w:trHeight w:val="397"/>
          <w:tblHeader/>
        </w:trPr>
        <w:tc>
          <w:tcPr>
            <w:tcW w:w="1362"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分析区域</w:t>
            </w: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主要功能空间面积</w:t>
            </w:r>
          </w:p>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（m</w:t>
            </w:r>
            <w:r>
              <w:rPr>
                <w:rFonts w:ascii="宋体" w:hAnsi="宋体" w:cs="宋体" w:hint="eastAsia"/>
                <w:bCs/>
                <w:sz w:val="21"/>
                <w:szCs w:val="21"/>
                <w:vertAlign w:val="superscript"/>
              </w:rPr>
              <w:t>2</w:t>
            </w:r>
            <w:r>
              <w:rPr>
                <w:rFonts w:ascii="宋体" w:hAnsi="宋体" w:cs="宋体" w:hint="eastAsia"/>
                <w:bCs/>
                <w:sz w:val="21"/>
                <w:szCs w:val="21"/>
              </w:rPr>
              <w:t>）</w:t>
            </w: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天然采光达标面积</w:t>
            </w:r>
          </w:p>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（m</w:t>
            </w:r>
            <w:r>
              <w:rPr>
                <w:rFonts w:ascii="宋体" w:hAnsi="宋体" w:cs="宋体" w:hint="eastAsia"/>
                <w:bCs/>
                <w:sz w:val="21"/>
                <w:szCs w:val="21"/>
                <w:vertAlign w:val="superscript"/>
              </w:rPr>
              <w:t>2</w:t>
            </w:r>
            <w:r>
              <w:rPr>
                <w:rFonts w:ascii="宋体" w:hAnsi="宋体" w:cs="宋体" w:hint="eastAsia"/>
                <w:bCs/>
                <w:sz w:val="21"/>
                <w:szCs w:val="21"/>
              </w:rPr>
              <w:t>）</w:t>
            </w:r>
          </w:p>
        </w:tc>
        <w:tc>
          <w:tcPr>
            <w:tcW w:w="3258"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sz w:val="21"/>
                <w:szCs w:val="21"/>
              </w:rPr>
            </w:pPr>
            <w:r>
              <w:rPr>
                <w:rFonts w:ascii="宋体" w:hAnsi="宋体" w:cs="宋体" w:hint="eastAsia"/>
                <w:bCs/>
                <w:sz w:val="21"/>
                <w:szCs w:val="21"/>
              </w:rPr>
              <w:t>天然采光达标面积比例（%）</w:t>
            </w:r>
          </w:p>
        </w:tc>
      </w:tr>
      <w:tr w:rsidR="008B40C5" w:rsidTr="005F4190">
        <w:trPr>
          <w:trHeight w:val="397"/>
        </w:trPr>
        <w:tc>
          <w:tcPr>
            <w:tcW w:w="1362"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58"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1362"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58"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1362"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58"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r>
      <w:tr w:rsidR="008B40C5" w:rsidTr="005F4190">
        <w:trPr>
          <w:trHeight w:val="397"/>
        </w:trPr>
        <w:tc>
          <w:tcPr>
            <w:tcW w:w="1362"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r>
              <w:rPr>
                <w:rFonts w:ascii="宋体" w:hAnsi="宋体" w:cs="宋体" w:hint="eastAsia"/>
                <w:bCs/>
                <w:iCs/>
                <w:sz w:val="21"/>
                <w:szCs w:val="21"/>
              </w:rPr>
              <w:t>总计</w:t>
            </w: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2447"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c>
          <w:tcPr>
            <w:tcW w:w="3258" w:type="dxa"/>
            <w:tcBorders>
              <w:top w:val="single" w:sz="4" w:space="0" w:color="auto"/>
              <w:left w:val="single" w:sz="4" w:space="0" w:color="auto"/>
              <w:bottom w:val="single" w:sz="4" w:space="0" w:color="auto"/>
              <w:right w:val="single" w:sz="4" w:space="0" w:color="auto"/>
            </w:tcBorders>
            <w:vAlign w:val="center"/>
          </w:tcPr>
          <w:p w:rsidR="008B40C5" w:rsidRDefault="008B40C5" w:rsidP="005F4190">
            <w:pPr>
              <w:pStyle w:val="a5"/>
              <w:spacing w:line="288" w:lineRule="auto"/>
              <w:jc w:val="center"/>
              <w:outlineLvl w:val="9"/>
              <w:rPr>
                <w:rFonts w:ascii="宋体" w:hAnsi="宋体" w:cs="宋体"/>
                <w:bCs/>
                <w:iCs/>
                <w:sz w:val="21"/>
                <w:szCs w:val="21"/>
              </w:rPr>
            </w:pPr>
          </w:p>
        </w:tc>
      </w:tr>
    </w:tbl>
    <w:p w:rsidR="008B40C5" w:rsidRDefault="008B40C5" w:rsidP="008B40C5">
      <w:pPr>
        <w:spacing w:line="288" w:lineRule="auto"/>
        <w:rPr>
          <w:rFonts w:ascii="宋体" w:hAnsi="宋体" w:cs="宋体"/>
          <w:szCs w:val="21"/>
          <w:lang w:val="zh-CN"/>
        </w:rPr>
      </w:pPr>
    </w:p>
    <w:p w:rsidR="008B40C5" w:rsidRDefault="008B40C5" w:rsidP="008B40C5">
      <w:pPr>
        <w:numPr>
          <w:ilvl w:val="0"/>
          <w:numId w:val="1"/>
        </w:numPr>
        <w:spacing w:line="288" w:lineRule="auto"/>
        <w:rPr>
          <w:rFonts w:ascii="宋体" w:hAnsi="宋体" w:cs="宋体"/>
          <w:b/>
          <w:bCs/>
          <w:kern w:val="0"/>
          <w:szCs w:val="21"/>
        </w:rPr>
      </w:pPr>
      <w:r>
        <w:rPr>
          <w:rFonts w:ascii="宋体" w:hAnsi="宋体" w:cs="宋体" w:hint="eastAsia"/>
          <w:b/>
          <w:bCs/>
          <w:kern w:val="0"/>
          <w:szCs w:val="21"/>
        </w:rPr>
        <w:t>证明材料</w:t>
      </w:r>
    </w:p>
    <w:p w:rsidR="008B40C5" w:rsidRDefault="008B40C5" w:rsidP="008B40C5">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1"/>
        <w:gridCol w:w="1171"/>
        <w:gridCol w:w="4476"/>
        <w:gridCol w:w="988"/>
        <w:gridCol w:w="942"/>
        <w:gridCol w:w="747"/>
        <w:gridCol w:w="815"/>
      </w:tblGrid>
      <w:tr w:rsidR="008B40C5" w:rsidTr="005F4190">
        <w:trPr>
          <w:trHeight w:val="540"/>
        </w:trPr>
        <w:tc>
          <w:tcPr>
            <w:tcW w:w="721" w:type="dxa"/>
            <w:shd w:val="clear" w:color="DBE5F1" w:fill="DBE5F1"/>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专业分类</w:t>
            </w:r>
          </w:p>
        </w:tc>
        <w:tc>
          <w:tcPr>
            <w:tcW w:w="1171" w:type="dxa"/>
            <w:shd w:val="clear" w:color="DBE5F1" w:fill="DBE5F1"/>
            <w:vAlign w:val="center"/>
          </w:tcPr>
          <w:p w:rsidR="008B40C5" w:rsidRDefault="008B40C5" w:rsidP="005F4190">
            <w:pPr>
              <w:widowControl/>
              <w:jc w:val="center"/>
              <w:rPr>
                <w:rFonts w:ascii="宋体" w:hAnsi="宋体" w:cs="宋体"/>
                <w:bCs/>
                <w:kern w:val="0"/>
                <w:szCs w:val="21"/>
              </w:rPr>
            </w:pPr>
            <w:r>
              <w:rPr>
                <w:rFonts w:ascii="宋体" w:hAnsi="宋体" w:cs="宋体" w:hint="eastAsia"/>
                <w:bCs/>
                <w:kern w:val="0"/>
                <w:szCs w:val="21"/>
              </w:rPr>
              <w:t>材料名称</w:t>
            </w:r>
          </w:p>
        </w:tc>
        <w:tc>
          <w:tcPr>
            <w:tcW w:w="4476" w:type="dxa"/>
            <w:shd w:val="clear" w:color="DBE5F1" w:fill="DBE5F1"/>
            <w:vAlign w:val="center"/>
          </w:tcPr>
          <w:p w:rsidR="008B40C5" w:rsidRDefault="008B40C5" w:rsidP="005F4190">
            <w:pPr>
              <w:widowControl/>
              <w:jc w:val="center"/>
              <w:rPr>
                <w:rFonts w:ascii="宋体" w:hAnsi="宋体" w:cs="宋体"/>
                <w:bCs/>
                <w:kern w:val="0"/>
                <w:szCs w:val="21"/>
              </w:rPr>
            </w:pPr>
            <w:r>
              <w:rPr>
                <w:rFonts w:ascii="宋体" w:hAnsi="宋体" w:cs="宋体" w:hint="eastAsia"/>
                <w:bCs/>
                <w:kern w:val="0"/>
                <w:szCs w:val="21"/>
              </w:rPr>
              <w:t>技术要求</w:t>
            </w:r>
          </w:p>
        </w:tc>
        <w:tc>
          <w:tcPr>
            <w:tcW w:w="988" w:type="dxa"/>
            <w:shd w:val="clear" w:color="DBE5F1" w:fill="DBE5F1"/>
            <w:vAlign w:val="center"/>
          </w:tcPr>
          <w:p w:rsidR="008B40C5" w:rsidRDefault="008B40C5"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8B40C5" w:rsidRDefault="008B40C5" w:rsidP="005F4190">
            <w:pPr>
              <w:widowControl/>
              <w:jc w:val="center"/>
              <w:rPr>
                <w:rFonts w:ascii="宋体" w:hAnsi="宋体" w:cs="宋体"/>
                <w:bCs/>
                <w:kern w:val="0"/>
                <w:szCs w:val="21"/>
              </w:rPr>
            </w:pPr>
            <w:r>
              <w:rPr>
                <w:rFonts w:ascii="宋体" w:hAnsi="宋体" w:cs="宋体" w:hint="eastAsia"/>
                <w:bCs/>
                <w:kern w:val="0"/>
                <w:szCs w:val="21"/>
              </w:rPr>
              <w:t>要点</w:t>
            </w:r>
          </w:p>
        </w:tc>
        <w:tc>
          <w:tcPr>
            <w:tcW w:w="942" w:type="dxa"/>
            <w:shd w:val="clear" w:color="DBE5F1" w:fill="DBE5F1"/>
            <w:vAlign w:val="center"/>
          </w:tcPr>
          <w:p w:rsidR="008B40C5" w:rsidRDefault="008B40C5" w:rsidP="005F4190">
            <w:pPr>
              <w:widowControl/>
              <w:jc w:val="center"/>
              <w:rPr>
                <w:rFonts w:ascii="宋体" w:hAnsi="宋体" w:cs="宋体" w:hint="eastAsia"/>
                <w:bCs/>
                <w:kern w:val="0"/>
                <w:szCs w:val="21"/>
              </w:rPr>
            </w:pPr>
            <w:r>
              <w:rPr>
                <w:rFonts w:ascii="宋体" w:hAnsi="宋体" w:cs="宋体" w:hint="eastAsia"/>
                <w:bCs/>
                <w:kern w:val="0"/>
                <w:szCs w:val="21"/>
              </w:rPr>
              <w:t>评价</w:t>
            </w:r>
          </w:p>
          <w:p w:rsidR="008B40C5" w:rsidRDefault="008B40C5" w:rsidP="005F4190">
            <w:pPr>
              <w:widowControl/>
              <w:jc w:val="center"/>
              <w:rPr>
                <w:rFonts w:ascii="宋体" w:hAnsi="宋体" w:cs="宋体"/>
                <w:bCs/>
                <w:kern w:val="0"/>
                <w:szCs w:val="21"/>
              </w:rPr>
            </w:pPr>
            <w:r>
              <w:rPr>
                <w:rFonts w:ascii="宋体" w:hAnsi="宋体" w:cs="宋体" w:hint="eastAsia"/>
                <w:bCs/>
                <w:kern w:val="0"/>
                <w:szCs w:val="21"/>
              </w:rPr>
              <w:t>阶段</w:t>
            </w:r>
          </w:p>
        </w:tc>
        <w:tc>
          <w:tcPr>
            <w:tcW w:w="747" w:type="dxa"/>
            <w:shd w:val="clear" w:color="DBE5F1" w:fill="DBE5F1"/>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建筑类型</w:t>
            </w:r>
          </w:p>
        </w:tc>
        <w:tc>
          <w:tcPr>
            <w:tcW w:w="815" w:type="dxa"/>
            <w:shd w:val="clear" w:color="DBE5F1" w:fill="DBE5F1"/>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是否提交</w:t>
            </w:r>
          </w:p>
        </w:tc>
      </w:tr>
      <w:tr w:rsidR="008B40C5" w:rsidTr="005F4190">
        <w:trPr>
          <w:trHeight w:val="270"/>
        </w:trPr>
        <w:tc>
          <w:tcPr>
            <w:tcW w:w="721" w:type="dxa"/>
            <w:vMerge w:val="restart"/>
            <w:tcBorders>
              <w:top w:val="single" w:sz="4" w:space="0" w:color="auto"/>
              <w:left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建筑设计</w:t>
            </w:r>
          </w:p>
        </w:tc>
        <w:tc>
          <w:tcPr>
            <w:tcW w:w="1171" w:type="dxa"/>
            <w:tcBorders>
              <w:top w:val="single" w:sz="4"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建筑立面图</w:t>
            </w:r>
          </w:p>
        </w:tc>
        <w:tc>
          <w:tcPr>
            <w:tcW w:w="4476" w:type="dxa"/>
            <w:tcBorders>
              <w:top w:val="single" w:sz="4"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应体现外窗设置情况、详细尺寸说明并与详图吻合</w:t>
            </w:r>
          </w:p>
        </w:tc>
        <w:tc>
          <w:tcPr>
            <w:tcW w:w="988" w:type="dxa"/>
            <w:tcBorders>
              <w:top w:val="single" w:sz="4"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w:t>
            </w:r>
          </w:p>
        </w:tc>
        <w:tc>
          <w:tcPr>
            <w:tcW w:w="942" w:type="dxa"/>
            <w:tcBorders>
              <w:top w:val="single" w:sz="4"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设计/运行</w:t>
            </w:r>
          </w:p>
        </w:tc>
        <w:tc>
          <w:tcPr>
            <w:tcW w:w="747" w:type="dxa"/>
            <w:tcBorders>
              <w:top w:val="single" w:sz="4"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居建/公建</w:t>
            </w:r>
          </w:p>
        </w:tc>
        <w:tc>
          <w:tcPr>
            <w:tcW w:w="815" w:type="dxa"/>
            <w:tcBorders>
              <w:top w:val="single" w:sz="4"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p>
        </w:tc>
      </w:tr>
      <w:tr w:rsidR="008B40C5" w:rsidTr="005F4190">
        <w:trPr>
          <w:trHeight w:val="270"/>
        </w:trPr>
        <w:tc>
          <w:tcPr>
            <w:tcW w:w="721" w:type="dxa"/>
            <w:vMerge/>
            <w:tcBorders>
              <w:left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建筑门窗表</w:t>
            </w:r>
          </w:p>
        </w:tc>
        <w:tc>
          <w:tcPr>
            <w:tcW w:w="4476"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应体现外窗详细尺寸说明、材质、开启方式，并与详图吻合</w:t>
            </w:r>
          </w:p>
        </w:tc>
        <w:tc>
          <w:tcPr>
            <w:tcW w:w="988"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w:t>
            </w:r>
          </w:p>
        </w:tc>
        <w:tc>
          <w:tcPr>
            <w:tcW w:w="942"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设计/运行</w:t>
            </w:r>
          </w:p>
        </w:tc>
        <w:tc>
          <w:tcPr>
            <w:tcW w:w="747"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居建/公建</w:t>
            </w:r>
          </w:p>
        </w:tc>
        <w:tc>
          <w:tcPr>
            <w:tcW w:w="815"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p>
        </w:tc>
      </w:tr>
      <w:tr w:rsidR="008B40C5" w:rsidTr="005F4190">
        <w:trPr>
          <w:trHeight w:val="270"/>
        </w:trPr>
        <w:tc>
          <w:tcPr>
            <w:tcW w:w="721" w:type="dxa"/>
            <w:vMerge/>
            <w:tcBorders>
              <w:left w:val="single" w:sz="4"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 xml:space="preserve">建筑平面图 </w:t>
            </w:r>
          </w:p>
        </w:tc>
        <w:tc>
          <w:tcPr>
            <w:tcW w:w="4476"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应体现不同户型或功能空间的房间布局、窗户的相对位置</w:t>
            </w:r>
          </w:p>
        </w:tc>
        <w:tc>
          <w:tcPr>
            <w:tcW w:w="988"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w:t>
            </w:r>
          </w:p>
        </w:tc>
        <w:tc>
          <w:tcPr>
            <w:tcW w:w="942"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设计/运行</w:t>
            </w:r>
          </w:p>
        </w:tc>
        <w:tc>
          <w:tcPr>
            <w:tcW w:w="747"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居建/公建</w:t>
            </w:r>
          </w:p>
        </w:tc>
        <w:tc>
          <w:tcPr>
            <w:tcW w:w="815"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p>
        </w:tc>
      </w:tr>
      <w:tr w:rsidR="008B40C5" w:rsidTr="005F4190">
        <w:trPr>
          <w:trHeight w:val="891"/>
        </w:trPr>
        <w:tc>
          <w:tcPr>
            <w:tcW w:w="721" w:type="dxa"/>
            <w:vMerge w:val="restart"/>
            <w:tcBorders>
              <w:top w:val="single" w:sz="6" w:space="0" w:color="auto"/>
              <w:left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其他材料</w:t>
            </w:r>
          </w:p>
        </w:tc>
        <w:tc>
          <w:tcPr>
            <w:tcW w:w="1171" w:type="dxa"/>
            <w:tcBorders>
              <w:top w:val="single" w:sz="6" w:space="0" w:color="auto"/>
              <w:left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窗地面积比计算书</w:t>
            </w:r>
          </w:p>
        </w:tc>
        <w:tc>
          <w:tcPr>
            <w:tcW w:w="4476" w:type="dxa"/>
            <w:tcBorders>
              <w:top w:val="single" w:sz="6" w:space="0" w:color="auto"/>
              <w:left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应包括对</w:t>
            </w:r>
            <w:proofErr w:type="gramStart"/>
            <w:r>
              <w:rPr>
                <w:rFonts w:ascii="宋体" w:hAnsi="宋体" w:cs="宋体" w:hint="eastAsia"/>
                <w:kern w:val="0"/>
                <w:szCs w:val="21"/>
              </w:rPr>
              <w:t>各典型</w:t>
            </w:r>
            <w:proofErr w:type="gramEnd"/>
            <w:r>
              <w:rPr>
                <w:rFonts w:ascii="宋体" w:hAnsi="宋体" w:cs="宋体" w:hint="eastAsia"/>
                <w:kern w:val="0"/>
                <w:szCs w:val="21"/>
              </w:rPr>
              <w:t>户型内卧室、起居室等主要功能房间窗地面积比例（指标要求与自评一致）的计算说明，并与设计图纸吻合</w:t>
            </w:r>
          </w:p>
        </w:tc>
        <w:tc>
          <w:tcPr>
            <w:tcW w:w="988" w:type="dxa"/>
            <w:tcBorders>
              <w:top w:val="single" w:sz="6" w:space="0" w:color="auto"/>
              <w:left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w:t>
            </w:r>
          </w:p>
        </w:tc>
        <w:tc>
          <w:tcPr>
            <w:tcW w:w="942" w:type="dxa"/>
            <w:tcBorders>
              <w:top w:val="single" w:sz="6" w:space="0" w:color="auto"/>
              <w:left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设计/运行</w:t>
            </w:r>
          </w:p>
        </w:tc>
        <w:tc>
          <w:tcPr>
            <w:tcW w:w="747" w:type="dxa"/>
            <w:tcBorders>
              <w:top w:val="single" w:sz="6" w:space="0" w:color="auto"/>
              <w:left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居住建筑</w:t>
            </w:r>
          </w:p>
        </w:tc>
        <w:tc>
          <w:tcPr>
            <w:tcW w:w="815"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p>
        </w:tc>
      </w:tr>
      <w:tr w:rsidR="008B40C5" w:rsidTr="005F4190">
        <w:trPr>
          <w:trHeight w:val="270"/>
        </w:trPr>
        <w:tc>
          <w:tcPr>
            <w:tcW w:w="721" w:type="dxa"/>
            <w:vMerge/>
            <w:tcBorders>
              <w:left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天然采光模拟分析报告</w:t>
            </w:r>
          </w:p>
        </w:tc>
        <w:tc>
          <w:tcPr>
            <w:tcW w:w="4476"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应说明模拟软件名称及版本、模拟边界条件设定、网格设计、工作面工况、材料的光学参数、室外建筑物或构筑物情况、室内地面反射率，以及模拟结果等，并应对各层主要功能房间天然采光达标的面积进行统计，明确达标面积比例（指标要求与自评一致）</w:t>
            </w:r>
          </w:p>
        </w:tc>
        <w:tc>
          <w:tcPr>
            <w:tcW w:w="988"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w:t>
            </w:r>
          </w:p>
        </w:tc>
        <w:tc>
          <w:tcPr>
            <w:tcW w:w="942"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设计/运行</w:t>
            </w:r>
          </w:p>
        </w:tc>
        <w:tc>
          <w:tcPr>
            <w:tcW w:w="747"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公共建筑</w:t>
            </w:r>
          </w:p>
        </w:tc>
        <w:tc>
          <w:tcPr>
            <w:tcW w:w="815"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p>
        </w:tc>
      </w:tr>
      <w:tr w:rsidR="008B40C5" w:rsidTr="005F4190">
        <w:trPr>
          <w:trHeight w:val="270"/>
        </w:trPr>
        <w:tc>
          <w:tcPr>
            <w:tcW w:w="721" w:type="dxa"/>
            <w:vMerge/>
            <w:tcBorders>
              <w:left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采光系数计算报告</w:t>
            </w:r>
          </w:p>
        </w:tc>
        <w:tc>
          <w:tcPr>
            <w:tcW w:w="4476"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应包括对</w:t>
            </w:r>
            <w:proofErr w:type="gramStart"/>
            <w:r>
              <w:rPr>
                <w:rFonts w:ascii="宋体" w:hAnsi="宋体" w:cs="宋体" w:hint="eastAsia"/>
                <w:kern w:val="0"/>
                <w:szCs w:val="21"/>
              </w:rPr>
              <w:t>各典型</w:t>
            </w:r>
            <w:proofErr w:type="gramEnd"/>
            <w:r>
              <w:rPr>
                <w:rFonts w:ascii="宋体" w:hAnsi="宋体" w:cs="宋体" w:hint="eastAsia"/>
                <w:kern w:val="0"/>
                <w:szCs w:val="21"/>
              </w:rPr>
              <w:t>户型内卧室、起居室等主要功能房间采光系数（指标要求与自评一致）的计算说明，并与设计图纸吻合</w:t>
            </w:r>
          </w:p>
        </w:tc>
        <w:tc>
          <w:tcPr>
            <w:tcW w:w="988"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w:t>
            </w:r>
          </w:p>
        </w:tc>
        <w:tc>
          <w:tcPr>
            <w:tcW w:w="942" w:type="dxa"/>
            <w:tcBorders>
              <w:top w:val="single" w:sz="6" w:space="0" w:color="auto"/>
              <w:left w:val="single" w:sz="6" w:space="0" w:color="auto"/>
              <w:bottom w:val="single" w:sz="6"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设计/运行</w:t>
            </w:r>
          </w:p>
        </w:tc>
        <w:tc>
          <w:tcPr>
            <w:tcW w:w="747"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居住建筑</w:t>
            </w:r>
          </w:p>
        </w:tc>
        <w:tc>
          <w:tcPr>
            <w:tcW w:w="815" w:type="dxa"/>
            <w:tcBorders>
              <w:top w:val="single" w:sz="6" w:space="0" w:color="auto"/>
              <w:left w:val="single" w:sz="6" w:space="0" w:color="auto"/>
              <w:bottom w:val="single" w:sz="6" w:space="0" w:color="auto"/>
              <w:right w:val="single" w:sz="4" w:space="0" w:color="auto"/>
            </w:tcBorders>
            <w:vAlign w:val="center"/>
          </w:tcPr>
          <w:p w:rsidR="008B40C5" w:rsidRDefault="008B40C5" w:rsidP="005F4190">
            <w:pPr>
              <w:widowControl/>
              <w:jc w:val="left"/>
              <w:rPr>
                <w:rFonts w:ascii="宋体" w:hAnsi="宋体" w:cs="宋体"/>
                <w:kern w:val="0"/>
                <w:szCs w:val="21"/>
              </w:rPr>
            </w:pPr>
          </w:p>
        </w:tc>
      </w:tr>
      <w:tr w:rsidR="008B40C5" w:rsidTr="005F4190">
        <w:trPr>
          <w:trHeight w:val="270"/>
        </w:trPr>
        <w:tc>
          <w:tcPr>
            <w:tcW w:w="721" w:type="dxa"/>
            <w:vMerge/>
            <w:tcBorders>
              <w:left w:val="single" w:sz="4" w:space="0" w:color="auto"/>
              <w:bottom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p>
        </w:tc>
        <w:tc>
          <w:tcPr>
            <w:tcW w:w="1171" w:type="dxa"/>
            <w:tcBorders>
              <w:top w:val="single" w:sz="6" w:space="0" w:color="auto"/>
              <w:left w:val="single" w:sz="6" w:space="0" w:color="auto"/>
              <w:bottom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天然采光系数现场检测报告</w:t>
            </w:r>
          </w:p>
        </w:tc>
        <w:tc>
          <w:tcPr>
            <w:tcW w:w="4476" w:type="dxa"/>
            <w:tcBorders>
              <w:top w:val="single" w:sz="6" w:space="0" w:color="auto"/>
              <w:left w:val="single" w:sz="6" w:space="0" w:color="auto"/>
              <w:bottom w:val="single" w:sz="4" w:space="0" w:color="auto"/>
              <w:right w:val="single" w:sz="6"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应包括在典型气象条件下对主要功能房间的采光系数进行现场检测的数据，并应统计出满足现行国家标准《建筑采光设计标准》GB 50033要求的达标面积比例</w:t>
            </w:r>
          </w:p>
        </w:tc>
        <w:tc>
          <w:tcPr>
            <w:tcW w:w="988" w:type="dxa"/>
            <w:tcBorders>
              <w:top w:val="single" w:sz="6" w:space="0" w:color="auto"/>
              <w:left w:val="single" w:sz="6" w:space="0" w:color="auto"/>
              <w:bottom w:val="single" w:sz="4" w:space="0" w:color="auto"/>
              <w:right w:val="single" w:sz="6" w:space="0" w:color="auto"/>
            </w:tcBorders>
            <w:vAlign w:val="center"/>
          </w:tcPr>
          <w:p w:rsidR="008B40C5" w:rsidRDefault="008B40C5" w:rsidP="005F4190">
            <w:pPr>
              <w:widowControl/>
              <w:jc w:val="left"/>
              <w:rPr>
                <w:rFonts w:ascii="宋体" w:hAnsi="宋体" w:cs="宋体"/>
                <w:bCs/>
                <w:kern w:val="0"/>
                <w:szCs w:val="21"/>
              </w:rPr>
            </w:pPr>
            <w:r>
              <w:rPr>
                <w:rFonts w:ascii="宋体" w:hAnsi="宋体" w:cs="宋体" w:hint="eastAsia"/>
                <w:bCs/>
                <w:kern w:val="0"/>
                <w:szCs w:val="21"/>
              </w:rPr>
              <w:t>采光系数</w:t>
            </w:r>
          </w:p>
        </w:tc>
        <w:tc>
          <w:tcPr>
            <w:tcW w:w="942" w:type="dxa"/>
            <w:tcBorders>
              <w:top w:val="single" w:sz="6" w:space="0" w:color="auto"/>
              <w:left w:val="single" w:sz="6" w:space="0" w:color="auto"/>
              <w:bottom w:val="single" w:sz="4" w:space="0" w:color="auto"/>
              <w:right w:val="single" w:sz="6" w:space="0" w:color="auto"/>
            </w:tcBorders>
            <w:vAlign w:val="center"/>
          </w:tcPr>
          <w:p w:rsidR="008B40C5" w:rsidRDefault="008B40C5" w:rsidP="005F4190">
            <w:pPr>
              <w:widowControl/>
              <w:jc w:val="left"/>
              <w:rPr>
                <w:rFonts w:ascii="宋体" w:hAnsi="宋体" w:cs="宋体" w:hint="eastAsia"/>
                <w:kern w:val="0"/>
                <w:szCs w:val="21"/>
              </w:rPr>
            </w:pPr>
            <w:r>
              <w:rPr>
                <w:rFonts w:ascii="宋体" w:hAnsi="宋体" w:cs="宋体" w:hint="eastAsia"/>
                <w:kern w:val="0"/>
                <w:szCs w:val="21"/>
              </w:rPr>
              <w:t>运行</w:t>
            </w:r>
          </w:p>
          <w:p w:rsidR="008B40C5" w:rsidRDefault="008B40C5" w:rsidP="005F4190">
            <w:pPr>
              <w:widowControl/>
              <w:jc w:val="left"/>
              <w:rPr>
                <w:rFonts w:ascii="宋体" w:hAnsi="宋体" w:cs="宋体"/>
                <w:kern w:val="0"/>
                <w:szCs w:val="21"/>
              </w:rPr>
            </w:pPr>
            <w:r>
              <w:rPr>
                <w:rFonts w:ascii="宋体" w:hAnsi="宋体" w:cs="宋体" w:hint="eastAsia"/>
                <w:kern w:val="0"/>
                <w:szCs w:val="21"/>
              </w:rPr>
              <w:t>评价</w:t>
            </w:r>
          </w:p>
        </w:tc>
        <w:tc>
          <w:tcPr>
            <w:tcW w:w="747" w:type="dxa"/>
            <w:tcBorders>
              <w:top w:val="single" w:sz="6" w:space="0" w:color="auto"/>
              <w:left w:val="single" w:sz="6" w:space="0" w:color="auto"/>
              <w:bottom w:val="single" w:sz="4" w:space="0" w:color="auto"/>
              <w:right w:val="single" w:sz="4" w:space="0" w:color="auto"/>
            </w:tcBorders>
            <w:vAlign w:val="center"/>
          </w:tcPr>
          <w:p w:rsidR="008B40C5" w:rsidRDefault="008B40C5" w:rsidP="005F4190">
            <w:pPr>
              <w:widowControl/>
              <w:jc w:val="left"/>
              <w:rPr>
                <w:rFonts w:ascii="宋体" w:hAnsi="宋体" w:cs="宋体"/>
                <w:kern w:val="0"/>
                <w:szCs w:val="21"/>
              </w:rPr>
            </w:pPr>
            <w:r>
              <w:rPr>
                <w:rFonts w:ascii="宋体" w:hAnsi="宋体" w:cs="宋体" w:hint="eastAsia"/>
                <w:kern w:val="0"/>
                <w:szCs w:val="21"/>
              </w:rPr>
              <w:t>公共建筑</w:t>
            </w:r>
          </w:p>
        </w:tc>
        <w:tc>
          <w:tcPr>
            <w:tcW w:w="815" w:type="dxa"/>
            <w:tcBorders>
              <w:top w:val="single" w:sz="6" w:space="0" w:color="auto"/>
              <w:left w:val="single" w:sz="6" w:space="0" w:color="auto"/>
              <w:bottom w:val="single" w:sz="4" w:space="0" w:color="auto"/>
              <w:right w:val="single" w:sz="4" w:space="0" w:color="auto"/>
            </w:tcBorders>
            <w:vAlign w:val="center"/>
          </w:tcPr>
          <w:p w:rsidR="008B40C5" w:rsidRDefault="008B40C5" w:rsidP="005F4190">
            <w:pPr>
              <w:widowControl/>
              <w:jc w:val="left"/>
              <w:rPr>
                <w:rFonts w:ascii="宋体" w:hAnsi="宋体" w:cs="宋体"/>
                <w:kern w:val="0"/>
                <w:szCs w:val="21"/>
              </w:rPr>
            </w:pPr>
          </w:p>
        </w:tc>
      </w:tr>
    </w:tbl>
    <w:p w:rsidR="008B40C5" w:rsidRDefault="008B40C5" w:rsidP="008B40C5">
      <w:pPr>
        <w:widowControl/>
        <w:spacing w:line="288" w:lineRule="auto"/>
        <w:jc w:val="left"/>
        <w:rPr>
          <w:rFonts w:ascii="宋体" w:hAnsi="宋体"/>
        </w:rPr>
      </w:pPr>
    </w:p>
    <w:p w:rsidR="00CD7425" w:rsidRDefault="00CD7425">
      <w:bookmarkStart w:id="0" w:name="_GoBack"/>
      <w:bookmarkEnd w:id="0"/>
    </w:p>
    <w:sectPr w:rsidR="00CD74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1F6" w:rsidRDefault="000D11F6" w:rsidP="008B40C5">
      <w:r>
        <w:separator/>
      </w:r>
    </w:p>
  </w:endnote>
  <w:endnote w:type="continuationSeparator" w:id="0">
    <w:p w:rsidR="000D11F6" w:rsidRDefault="000D11F6" w:rsidP="008B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1F6" w:rsidRDefault="000D11F6" w:rsidP="008B40C5">
      <w:r>
        <w:separator/>
      </w:r>
    </w:p>
  </w:footnote>
  <w:footnote w:type="continuationSeparator" w:id="0">
    <w:p w:rsidR="000D11F6" w:rsidRDefault="000D11F6" w:rsidP="008B4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7C"/>
    <w:multiLevelType w:val="multilevel"/>
    <w:tmpl w:val="0000007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716"/>
    <w:rsid w:val="000D11F6"/>
    <w:rsid w:val="008B40C5"/>
    <w:rsid w:val="00CD7425"/>
    <w:rsid w:val="00F9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0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0C5"/>
    <w:rPr>
      <w:sz w:val="18"/>
      <w:szCs w:val="18"/>
    </w:rPr>
  </w:style>
  <w:style w:type="paragraph" w:styleId="a4">
    <w:name w:val="footer"/>
    <w:basedOn w:val="a"/>
    <w:link w:val="Char0"/>
    <w:uiPriority w:val="99"/>
    <w:unhideWhenUsed/>
    <w:rsid w:val="008B40C5"/>
    <w:pPr>
      <w:tabs>
        <w:tab w:val="center" w:pos="4153"/>
        <w:tab w:val="right" w:pos="8306"/>
      </w:tabs>
      <w:snapToGrid w:val="0"/>
      <w:jc w:val="left"/>
    </w:pPr>
    <w:rPr>
      <w:sz w:val="18"/>
      <w:szCs w:val="18"/>
    </w:rPr>
  </w:style>
  <w:style w:type="character" w:customStyle="1" w:styleId="Char0">
    <w:name w:val="页脚 Char"/>
    <w:basedOn w:val="a0"/>
    <w:link w:val="a4"/>
    <w:uiPriority w:val="99"/>
    <w:rsid w:val="008B40C5"/>
    <w:rPr>
      <w:sz w:val="18"/>
      <w:szCs w:val="18"/>
    </w:rPr>
  </w:style>
  <w:style w:type="character" w:customStyle="1" w:styleId="Char1">
    <w:name w:val="条文 Char"/>
    <w:link w:val="a5"/>
    <w:rsid w:val="008B40C5"/>
    <w:rPr>
      <w:rFonts w:ascii="Times New Roman" w:eastAsia="宋体" w:hAnsi="Times New Roman" w:cs="Times New Roman"/>
      <w:sz w:val="24"/>
      <w:szCs w:val="24"/>
    </w:rPr>
  </w:style>
  <w:style w:type="paragraph" w:customStyle="1" w:styleId="a5">
    <w:name w:val="条文"/>
    <w:basedOn w:val="a"/>
    <w:link w:val="Char1"/>
    <w:rsid w:val="008B40C5"/>
    <w:pPr>
      <w:spacing w:line="300" w:lineRule="auto"/>
      <w:outlineLvl w:val="2"/>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0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40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40C5"/>
    <w:rPr>
      <w:sz w:val="18"/>
      <w:szCs w:val="18"/>
    </w:rPr>
  </w:style>
  <w:style w:type="paragraph" w:styleId="a4">
    <w:name w:val="footer"/>
    <w:basedOn w:val="a"/>
    <w:link w:val="Char0"/>
    <w:uiPriority w:val="99"/>
    <w:unhideWhenUsed/>
    <w:rsid w:val="008B40C5"/>
    <w:pPr>
      <w:tabs>
        <w:tab w:val="center" w:pos="4153"/>
        <w:tab w:val="right" w:pos="8306"/>
      </w:tabs>
      <w:snapToGrid w:val="0"/>
      <w:jc w:val="left"/>
    </w:pPr>
    <w:rPr>
      <w:sz w:val="18"/>
      <w:szCs w:val="18"/>
    </w:rPr>
  </w:style>
  <w:style w:type="character" w:customStyle="1" w:styleId="Char0">
    <w:name w:val="页脚 Char"/>
    <w:basedOn w:val="a0"/>
    <w:link w:val="a4"/>
    <w:uiPriority w:val="99"/>
    <w:rsid w:val="008B40C5"/>
    <w:rPr>
      <w:sz w:val="18"/>
      <w:szCs w:val="18"/>
    </w:rPr>
  </w:style>
  <w:style w:type="character" w:customStyle="1" w:styleId="Char1">
    <w:name w:val="条文 Char"/>
    <w:link w:val="a5"/>
    <w:rsid w:val="008B40C5"/>
    <w:rPr>
      <w:rFonts w:ascii="Times New Roman" w:eastAsia="宋体" w:hAnsi="Times New Roman" w:cs="Times New Roman"/>
      <w:sz w:val="24"/>
      <w:szCs w:val="24"/>
    </w:rPr>
  </w:style>
  <w:style w:type="paragraph" w:customStyle="1" w:styleId="a5">
    <w:name w:val="条文"/>
    <w:basedOn w:val="a"/>
    <w:link w:val="Char1"/>
    <w:rsid w:val="008B40C5"/>
    <w:pPr>
      <w:spacing w:line="300" w:lineRule="auto"/>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1089</Characters>
  <Application>Microsoft Office Word</Application>
  <DocSecurity>0</DocSecurity>
  <Lines>9</Lines>
  <Paragraphs>2</Paragraphs>
  <ScaleCrop>false</ScaleCrop>
  <Company>Microsoft</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2018-07-04T07:45:00Z</dcterms:created>
  <dcterms:modified xsi:type="dcterms:W3CDTF">2018-07-04T07:45:00Z</dcterms:modified>
</cp:coreProperties>
</file>