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B78" w:rsidRDefault="00D10B78" w:rsidP="00D10B78">
      <w:pPr>
        <w:pStyle w:val="3"/>
        <w:pageBreakBefore/>
        <w:spacing w:line="288" w:lineRule="auto"/>
        <w:rPr>
          <w:b/>
        </w:rPr>
      </w:pPr>
      <w:r>
        <w:rPr>
          <w:rFonts w:hint="eastAsia"/>
          <w:b/>
        </w:rPr>
        <w:t>8.2.7采用合理措施改善室内天然采光效果。（</w:t>
      </w:r>
      <w:proofErr w:type="gramStart"/>
      <w:r>
        <w:rPr>
          <w:rFonts w:hint="eastAsia"/>
          <w:b/>
        </w:rPr>
        <w:t>评价总分值</w:t>
      </w:r>
      <w:proofErr w:type="gramEnd"/>
      <w:r>
        <w:rPr>
          <w:rFonts w:hint="eastAsia"/>
          <w:b/>
        </w:rPr>
        <w:t>14分）</w:t>
      </w:r>
    </w:p>
    <w:p w:rsidR="00D10B78" w:rsidRDefault="00D10B78" w:rsidP="00D10B78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参评情况</w:t>
      </w:r>
    </w:p>
    <w:p w:rsidR="00D10B78" w:rsidRDefault="00D10B78" w:rsidP="00D10B78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□参评□</w:t>
      </w:r>
      <w:proofErr w:type="gramStart"/>
      <w:r>
        <w:rPr>
          <w:rFonts w:ascii="宋体" w:hAnsi="宋体" w:cs="宋体" w:hint="eastAsia"/>
          <w:kern w:val="0"/>
          <w:szCs w:val="21"/>
        </w:rPr>
        <w:t>不</w:t>
      </w:r>
      <w:proofErr w:type="gramEnd"/>
      <w:r>
        <w:rPr>
          <w:rFonts w:ascii="宋体" w:hAnsi="宋体" w:cs="宋体" w:hint="eastAsia"/>
          <w:kern w:val="0"/>
          <w:szCs w:val="21"/>
        </w:rPr>
        <w:t>参评，原因（）</w:t>
      </w:r>
    </w:p>
    <w:p w:rsidR="00D10B78" w:rsidRDefault="00D10B78" w:rsidP="00D10B78">
      <w:pPr>
        <w:spacing w:line="288" w:lineRule="auto"/>
        <w:rPr>
          <w:rFonts w:ascii="宋体" w:hAnsi="宋体" w:cs="宋体"/>
          <w:kern w:val="0"/>
          <w:szCs w:val="21"/>
        </w:rPr>
      </w:pPr>
    </w:p>
    <w:p w:rsidR="00D10B78" w:rsidRDefault="00D10B78" w:rsidP="00D10B78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得分自评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"/>
        <w:gridCol w:w="3121"/>
        <w:gridCol w:w="2789"/>
        <w:gridCol w:w="1365"/>
        <w:gridCol w:w="1318"/>
      </w:tblGrid>
      <w:tr w:rsidR="00D10B78" w:rsidTr="005F4190">
        <w:trPr>
          <w:trHeight w:val="397"/>
          <w:tblHeader/>
        </w:trPr>
        <w:tc>
          <w:tcPr>
            <w:tcW w:w="861" w:type="dxa"/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序号</w:t>
            </w:r>
          </w:p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5910" w:type="dxa"/>
            <w:gridSpan w:val="2"/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评价内容</w:t>
            </w:r>
          </w:p>
        </w:tc>
        <w:tc>
          <w:tcPr>
            <w:tcW w:w="1365" w:type="dxa"/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评价分值（分）</w:t>
            </w:r>
          </w:p>
        </w:tc>
        <w:tc>
          <w:tcPr>
            <w:tcW w:w="1318" w:type="dxa"/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自评得分（分）</w:t>
            </w:r>
          </w:p>
        </w:tc>
      </w:tr>
      <w:tr w:rsidR="00D10B78" w:rsidTr="005F4190">
        <w:trPr>
          <w:trHeight w:val="397"/>
        </w:trPr>
        <w:tc>
          <w:tcPr>
            <w:tcW w:w="861" w:type="dxa"/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1</w:t>
            </w:r>
          </w:p>
        </w:tc>
        <w:tc>
          <w:tcPr>
            <w:tcW w:w="5910" w:type="dxa"/>
            <w:gridSpan w:val="2"/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主要功能房间有合理的控制眩光措施</w:t>
            </w:r>
          </w:p>
        </w:tc>
        <w:tc>
          <w:tcPr>
            <w:tcW w:w="1365" w:type="dxa"/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6</w:t>
            </w:r>
          </w:p>
        </w:tc>
        <w:tc>
          <w:tcPr>
            <w:tcW w:w="1318" w:type="dxa"/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D10B78" w:rsidTr="005F4190">
        <w:trPr>
          <w:trHeight w:val="397"/>
        </w:trPr>
        <w:tc>
          <w:tcPr>
            <w:tcW w:w="861" w:type="dxa"/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iCs/>
                <w:sz w:val="21"/>
                <w:szCs w:val="21"/>
              </w:rPr>
              <w:t>2</w:t>
            </w:r>
          </w:p>
        </w:tc>
        <w:tc>
          <w:tcPr>
            <w:tcW w:w="5910" w:type="dxa"/>
            <w:gridSpan w:val="2"/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内区采光系数满足采光要求的面积比例达到60%</w:t>
            </w:r>
          </w:p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iCs/>
                <w:sz w:val="21"/>
                <w:szCs w:val="21"/>
              </w:rPr>
              <w:t>或</w:t>
            </w: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无内区，</w:t>
            </w:r>
            <w:r>
              <w:rPr>
                <w:rFonts w:ascii="宋体" w:hAnsi="宋体" w:cs="宋体" w:hint="eastAsia"/>
                <w:b/>
                <w:iCs/>
                <w:sz w:val="21"/>
                <w:szCs w:val="21"/>
              </w:rPr>
              <w:t>或</w:t>
            </w: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住宅建筑</w:t>
            </w:r>
          </w:p>
        </w:tc>
        <w:tc>
          <w:tcPr>
            <w:tcW w:w="1365" w:type="dxa"/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4</w:t>
            </w:r>
          </w:p>
        </w:tc>
        <w:tc>
          <w:tcPr>
            <w:tcW w:w="1318" w:type="dxa"/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D10B78" w:rsidTr="005F4190">
        <w:trPr>
          <w:trHeight w:val="397"/>
        </w:trPr>
        <w:tc>
          <w:tcPr>
            <w:tcW w:w="861" w:type="dxa"/>
            <w:vMerge w:val="restart"/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3</w:t>
            </w:r>
          </w:p>
        </w:tc>
        <w:tc>
          <w:tcPr>
            <w:tcW w:w="3121" w:type="dxa"/>
            <w:vMerge w:val="restart"/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地下空间平均采光系数不小于0.5%的面积与首层地下室面积的比例R</w:t>
            </w:r>
            <w:r>
              <w:rPr>
                <w:rFonts w:ascii="宋体" w:hAnsi="宋体" w:cs="宋体" w:hint="eastAsia"/>
                <w:bCs/>
                <w:iCs/>
                <w:sz w:val="21"/>
                <w:szCs w:val="21"/>
                <w:vertAlign w:val="subscript"/>
              </w:rPr>
              <w:t>A</w:t>
            </w:r>
          </w:p>
        </w:tc>
        <w:tc>
          <w:tcPr>
            <w:tcW w:w="2789" w:type="dxa"/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5%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≤</w:t>
            </w: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R</w:t>
            </w:r>
            <w:r>
              <w:rPr>
                <w:rFonts w:ascii="宋体" w:hAnsi="宋体" w:cs="宋体" w:hint="eastAsia"/>
                <w:bCs/>
                <w:iCs/>
                <w:sz w:val="21"/>
                <w:szCs w:val="21"/>
                <w:vertAlign w:val="subscript"/>
              </w:rPr>
              <w:t>A</w:t>
            </w: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&lt;10%</w:t>
            </w:r>
          </w:p>
        </w:tc>
        <w:tc>
          <w:tcPr>
            <w:tcW w:w="1365" w:type="dxa"/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1</w:t>
            </w:r>
          </w:p>
        </w:tc>
        <w:tc>
          <w:tcPr>
            <w:tcW w:w="1318" w:type="dxa"/>
            <w:vMerge w:val="restart"/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D10B78" w:rsidTr="005F4190">
        <w:trPr>
          <w:trHeight w:val="397"/>
        </w:trPr>
        <w:tc>
          <w:tcPr>
            <w:tcW w:w="861" w:type="dxa"/>
            <w:vMerge/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3121" w:type="dxa"/>
            <w:vMerge/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789" w:type="dxa"/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10%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≤</w:t>
            </w: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R</w:t>
            </w:r>
            <w:r>
              <w:rPr>
                <w:rFonts w:ascii="宋体" w:hAnsi="宋体" w:cs="宋体" w:hint="eastAsia"/>
                <w:bCs/>
                <w:iCs/>
                <w:sz w:val="21"/>
                <w:szCs w:val="21"/>
                <w:vertAlign w:val="subscript"/>
              </w:rPr>
              <w:t>A</w:t>
            </w: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&lt;15%</w:t>
            </w:r>
          </w:p>
        </w:tc>
        <w:tc>
          <w:tcPr>
            <w:tcW w:w="1365" w:type="dxa"/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2</w:t>
            </w:r>
          </w:p>
        </w:tc>
        <w:tc>
          <w:tcPr>
            <w:tcW w:w="1318" w:type="dxa"/>
            <w:vMerge/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D10B78" w:rsidTr="005F4190">
        <w:trPr>
          <w:trHeight w:val="397"/>
        </w:trPr>
        <w:tc>
          <w:tcPr>
            <w:tcW w:w="861" w:type="dxa"/>
            <w:vMerge/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3121" w:type="dxa"/>
            <w:vMerge/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789" w:type="dxa"/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15%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≤</w:t>
            </w: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R</w:t>
            </w:r>
            <w:r>
              <w:rPr>
                <w:rFonts w:ascii="宋体" w:hAnsi="宋体" w:cs="宋体" w:hint="eastAsia"/>
                <w:bCs/>
                <w:iCs/>
                <w:sz w:val="21"/>
                <w:szCs w:val="21"/>
                <w:vertAlign w:val="subscript"/>
              </w:rPr>
              <w:t>A</w:t>
            </w: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&lt;20%</w:t>
            </w:r>
          </w:p>
        </w:tc>
        <w:tc>
          <w:tcPr>
            <w:tcW w:w="1365" w:type="dxa"/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3</w:t>
            </w:r>
          </w:p>
        </w:tc>
        <w:tc>
          <w:tcPr>
            <w:tcW w:w="1318" w:type="dxa"/>
            <w:vMerge/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D10B78" w:rsidTr="005F4190">
        <w:trPr>
          <w:trHeight w:val="397"/>
        </w:trPr>
        <w:tc>
          <w:tcPr>
            <w:tcW w:w="861" w:type="dxa"/>
            <w:vMerge/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3121" w:type="dxa"/>
            <w:vMerge/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789" w:type="dxa"/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R</w:t>
            </w:r>
            <w:r>
              <w:rPr>
                <w:rFonts w:ascii="宋体" w:hAnsi="宋体" w:cs="宋体" w:hint="eastAsia"/>
                <w:bCs/>
                <w:iCs/>
                <w:sz w:val="21"/>
                <w:szCs w:val="21"/>
                <w:vertAlign w:val="subscript"/>
              </w:rPr>
              <w:t>A</w:t>
            </w: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≥20%（或无地下室）</w:t>
            </w:r>
          </w:p>
        </w:tc>
        <w:tc>
          <w:tcPr>
            <w:tcW w:w="1365" w:type="dxa"/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4</w:t>
            </w:r>
          </w:p>
        </w:tc>
        <w:tc>
          <w:tcPr>
            <w:tcW w:w="1318" w:type="dxa"/>
            <w:vMerge/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D10B78" w:rsidTr="005F4190">
        <w:trPr>
          <w:trHeight w:val="397"/>
        </w:trPr>
        <w:tc>
          <w:tcPr>
            <w:tcW w:w="861" w:type="dxa"/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5910" w:type="dxa"/>
            <w:gridSpan w:val="2"/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合计</w:t>
            </w:r>
          </w:p>
        </w:tc>
        <w:tc>
          <w:tcPr>
            <w:tcW w:w="1365" w:type="dxa"/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14</w:t>
            </w:r>
          </w:p>
        </w:tc>
        <w:tc>
          <w:tcPr>
            <w:tcW w:w="1318" w:type="dxa"/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</w:tbl>
    <w:p w:rsidR="00D10B78" w:rsidRDefault="00D10B78" w:rsidP="00D10B78">
      <w:pPr>
        <w:spacing w:line="288" w:lineRule="auto"/>
        <w:rPr>
          <w:rFonts w:ascii="宋体" w:hAnsi="宋体" w:cs="宋体"/>
          <w:kern w:val="0"/>
          <w:szCs w:val="21"/>
        </w:rPr>
      </w:pPr>
    </w:p>
    <w:p w:rsidR="00D10B78" w:rsidRDefault="00D10B78" w:rsidP="00D10B78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评价要点</w:t>
      </w:r>
    </w:p>
    <w:p w:rsidR="00D10B78" w:rsidRDefault="00D10B78" w:rsidP="00D10B78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防眩光措施：</w:t>
      </w:r>
    </w:p>
    <w:p w:rsidR="00D10B78" w:rsidRDefault="00D10B78" w:rsidP="00D10B78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项目设计是否符合《建筑采光设计标准》中控制不舒适眩光的相关规定：□是、□否</w:t>
      </w:r>
    </w:p>
    <w:p w:rsidR="00D10B78" w:rsidRDefault="00D10B78" w:rsidP="00D10B78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概述改善室内防眩光采用的措施。（200字以内）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4"/>
      </w:tblGrid>
      <w:tr w:rsidR="00D10B78" w:rsidTr="005F4190">
        <w:trPr>
          <w:trHeight w:val="1701"/>
        </w:trPr>
        <w:tc>
          <w:tcPr>
            <w:tcW w:w="9514" w:type="dxa"/>
          </w:tcPr>
          <w:p w:rsidR="00D10B78" w:rsidRDefault="00D10B78" w:rsidP="005F4190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</w:tr>
    </w:tbl>
    <w:p w:rsidR="00D10B78" w:rsidRDefault="00D10B78" w:rsidP="00D10B78">
      <w:pPr>
        <w:spacing w:line="288" w:lineRule="auto"/>
        <w:rPr>
          <w:rFonts w:ascii="宋体" w:hAnsi="宋体" w:cs="宋体"/>
          <w:szCs w:val="21"/>
        </w:rPr>
      </w:pPr>
    </w:p>
    <w:p w:rsidR="00D10B78" w:rsidRDefault="00D10B78" w:rsidP="00D10B78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主要功能房间的眩光指数统计表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1"/>
        <w:gridCol w:w="2131"/>
        <w:gridCol w:w="1657"/>
        <w:gridCol w:w="2359"/>
      </w:tblGrid>
      <w:tr w:rsidR="00D10B78" w:rsidTr="005F4190">
        <w:trPr>
          <w:trHeight w:val="340"/>
          <w:tblHeader/>
          <w:jc w:val="center"/>
        </w:trPr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房间类型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采光等级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8" w:rsidRDefault="00D10B78" w:rsidP="005F4190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眩光指数值</w:t>
            </w:r>
            <w:r>
              <w:rPr>
                <w:rFonts w:ascii="宋体" w:hAnsi="宋体" w:cs="宋体" w:hint="eastAsia"/>
                <w:bCs/>
                <w:i/>
                <w:szCs w:val="21"/>
              </w:rPr>
              <w:t>DGI</w:t>
            </w:r>
          </w:p>
        </w:tc>
        <w:tc>
          <w:tcPr>
            <w:tcW w:w="23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0B78" w:rsidRDefault="00D10B78" w:rsidP="005F4190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是否满足要求</w:t>
            </w:r>
          </w:p>
        </w:tc>
      </w:tr>
      <w:tr w:rsidR="00D10B78" w:rsidTr="005F4190">
        <w:trPr>
          <w:trHeight w:val="340"/>
          <w:jc w:val="center"/>
        </w:trPr>
        <w:tc>
          <w:tcPr>
            <w:tcW w:w="24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spacing w:line="288" w:lineRule="auto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0B78" w:rsidRDefault="00D10B78" w:rsidP="005F4190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□</w:t>
            </w:r>
          </w:p>
        </w:tc>
      </w:tr>
      <w:tr w:rsidR="00D10B78" w:rsidTr="005F4190">
        <w:trPr>
          <w:trHeight w:val="340"/>
          <w:jc w:val="center"/>
        </w:trPr>
        <w:tc>
          <w:tcPr>
            <w:tcW w:w="24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spacing w:line="288" w:lineRule="auto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0B78" w:rsidRDefault="00D10B78" w:rsidP="005F4190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□</w:t>
            </w:r>
          </w:p>
        </w:tc>
      </w:tr>
      <w:tr w:rsidR="00D10B78" w:rsidTr="005F4190">
        <w:trPr>
          <w:trHeight w:val="340"/>
          <w:jc w:val="center"/>
        </w:trPr>
        <w:tc>
          <w:tcPr>
            <w:tcW w:w="24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spacing w:line="288" w:lineRule="auto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0B78" w:rsidRDefault="00D10B78" w:rsidP="005F4190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□</w:t>
            </w:r>
          </w:p>
        </w:tc>
      </w:tr>
      <w:tr w:rsidR="00D10B78" w:rsidTr="005F4190">
        <w:trPr>
          <w:trHeight w:val="340"/>
          <w:jc w:val="center"/>
        </w:trPr>
        <w:tc>
          <w:tcPr>
            <w:tcW w:w="24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spacing w:line="288" w:lineRule="auto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0B78" w:rsidRDefault="00D10B78" w:rsidP="005F4190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□</w:t>
            </w:r>
          </w:p>
        </w:tc>
      </w:tr>
      <w:tr w:rsidR="00D10B78" w:rsidTr="005F4190">
        <w:trPr>
          <w:trHeight w:val="340"/>
          <w:jc w:val="center"/>
        </w:trPr>
        <w:tc>
          <w:tcPr>
            <w:tcW w:w="24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spacing w:line="288" w:lineRule="auto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0B78" w:rsidRDefault="00D10B78" w:rsidP="005F4190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□</w:t>
            </w:r>
          </w:p>
        </w:tc>
      </w:tr>
      <w:tr w:rsidR="00D10B78" w:rsidTr="005F4190">
        <w:trPr>
          <w:trHeight w:val="340"/>
          <w:jc w:val="center"/>
        </w:trPr>
        <w:tc>
          <w:tcPr>
            <w:tcW w:w="24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spacing w:line="288" w:lineRule="auto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0B78" w:rsidRDefault="00D10B78" w:rsidP="005F4190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□</w:t>
            </w:r>
          </w:p>
        </w:tc>
      </w:tr>
      <w:tr w:rsidR="00D10B78" w:rsidTr="005F4190">
        <w:trPr>
          <w:trHeight w:val="340"/>
          <w:jc w:val="center"/>
        </w:trPr>
        <w:tc>
          <w:tcPr>
            <w:tcW w:w="24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B78" w:rsidRDefault="00D10B78" w:rsidP="005F4190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□</w:t>
            </w:r>
          </w:p>
        </w:tc>
      </w:tr>
    </w:tbl>
    <w:p w:rsidR="00D10B78" w:rsidRDefault="00D10B78" w:rsidP="00D10B78">
      <w:pPr>
        <w:spacing w:line="288" w:lineRule="auto"/>
        <w:rPr>
          <w:rFonts w:ascii="宋体" w:hAnsi="宋体" w:cs="宋体"/>
          <w:szCs w:val="21"/>
        </w:rPr>
      </w:pPr>
    </w:p>
    <w:p w:rsidR="00D10B78" w:rsidRDefault="00D10B78" w:rsidP="00D10B78">
      <w:pPr>
        <w:pStyle w:val="1"/>
        <w:spacing w:line="288" w:lineRule="auto"/>
        <w:ind w:leftChars="-100" w:left="-210" w:firstLineChars="0" w:firstLine="0"/>
        <w:rPr>
          <w:rFonts w:ascii="宋体" w:hAnsi="宋体" w:cs="宋体"/>
          <w:szCs w:val="21"/>
          <w:lang w:val="zh-CN"/>
        </w:rPr>
      </w:pPr>
    </w:p>
    <w:p w:rsidR="00D10B78" w:rsidRDefault="00D10B78" w:rsidP="00D10B78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内区采光：</w:t>
      </w:r>
    </w:p>
    <w:p w:rsidR="00D10B78" w:rsidRDefault="00D10B78" w:rsidP="00D10B78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项目是否为住宅建筑：□是、□否</w:t>
      </w:r>
    </w:p>
    <w:p w:rsidR="00D10B78" w:rsidRDefault="00D10B78" w:rsidP="00D10B78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项目是否有内区：□是、□否</w:t>
      </w:r>
    </w:p>
    <w:p w:rsidR="00D10B78" w:rsidRDefault="00D10B78" w:rsidP="00D10B78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内区采光系数达标情况统计列表：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2229"/>
        <w:gridCol w:w="1343"/>
        <w:gridCol w:w="1733"/>
        <w:gridCol w:w="2969"/>
      </w:tblGrid>
      <w:tr w:rsidR="00D10B78" w:rsidTr="005F4190">
        <w:trPr>
          <w:trHeight w:val="397"/>
          <w:tblHeader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分析区域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主要功能空间面积</w:t>
            </w:r>
          </w:p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（m</w:t>
            </w:r>
            <w:r>
              <w:rPr>
                <w:rFonts w:ascii="宋体" w:hAnsi="宋体" w:cs="宋体" w:hint="eastAsia"/>
                <w:bCs/>
                <w:sz w:val="21"/>
                <w:szCs w:val="21"/>
                <w:vertAlign w:val="superscript"/>
              </w:rPr>
              <w:t>2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内区面积</w:t>
            </w:r>
          </w:p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（m</w:t>
            </w:r>
            <w:r>
              <w:rPr>
                <w:rFonts w:ascii="宋体" w:hAnsi="宋体" w:cs="宋体" w:hint="eastAsia"/>
                <w:bCs/>
                <w:sz w:val="21"/>
                <w:szCs w:val="21"/>
                <w:vertAlign w:val="superscript"/>
              </w:rPr>
              <w:t>2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采光达标面积</w:t>
            </w:r>
          </w:p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（m</w:t>
            </w:r>
            <w:r>
              <w:rPr>
                <w:rFonts w:ascii="宋体" w:hAnsi="宋体" w:cs="宋体" w:hint="eastAsia"/>
                <w:bCs/>
                <w:sz w:val="21"/>
                <w:szCs w:val="21"/>
                <w:vertAlign w:val="superscript"/>
              </w:rPr>
              <w:t>2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采光达标面积比例（%）</w:t>
            </w:r>
          </w:p>
        </w:tc>
      </w:tr>
      <w:tr w:rsidR="00D10B78" w:rsidTr="005F4190">
        <w:trPr>
          <w:trHeight w:val="397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D10B78" w:rsidTr="005F4190">
        <w:trPr>
          <w:trHeight w:val="397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D10B78" w:rsidTr="005F4190">
        <w:trPr>
          <w:trHeight w:val="397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D10B78" w:rsidTr="005F4190">
        <w:trPr>
          <w:trHeight w:val="397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D10B78" w:rsidTr="005F4190">
        <w:trPr>
          <w:trHeight w:val="397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D10B78" w:rsidTr="005F4190">
        <w:trPr>
          <w:trHeight w:val="397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总计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</w:tbl>
    <w:p w:rsidR="00D10B78" w:rsidRDefault="00D10B78" w:rsidP="00D10B78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地下室采光：</w:t>
      </w:r>
    </w:p>
    <w:p w:rsidR="00D10B78" w:rsidRDefault="00D10B78" w:rsidP="00D10B78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项目是否有地下室：□是、□否</w:t>
      </w:r>
    </w:p>
    <w:p w:rsidR="00D10B78" w:rsidRDefault="00D10B78" w:rsidP="00D10B78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地下室采光系数达标情况统计列表：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4"/>
        <w:gridCol w:w="2771"/>
        <w:gridCol w:w="2523"/>
        <w:gridCol w:w="2976"/>
      </w:tblGrid>
      <w:tr w:rsidR="00D10B78" w:rsidTr="005F4190">
        <w:trPr>
          <w:trHeight w:val="397"/>
          <w:tblHeader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分析区域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首层地下室面积（m</w:t>
            </w:r>
            <w:r>
              <w:rPr>
                <w:rFonts w:ascii="宋体" w:hAnsi="宋体" w:cs="宋体" w:hint="eastAsia"/>
                <w:bCs/>
                <w:sz w:val="21"/>
                <w:szCs w:val="21"/>
                <w:vertAlign w:val="superscript"/>
              </w:rPr>
              <w:t>2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采光达标面积（m</w:t>
            </w:r>
            <w:r>
              <w:rPr>
                <w:rFonts w:ascii="宋体" w:hAnsi="宋体" w:cs="宋体" w:hint="eastAsia"/>
                <w:bCs/>
                <w:sz w:val="21"/>
                <w:szCs w:val="21"/>
                <w:vertAlign w:val="superscript"/>
              </w:rPr>
              <w:t>2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采光达标面积比例（%）</w:t>
            </w:r>
          </w:p>
        </w:tc>
      </w:tr>
      <w:tr w:rsidR="00D10B78" w:rsidTr="005F4190">
        <w:trPr>
          <w:trHeight w:val="397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</w:tbl>
    <w:p w:rsidR="00D10B78" w:rsidRDefault="00D10B78" w:rsidP="00D10B78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D10B78" w:rsidRDefault="00D10B78" w:rsidP="00D10B78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D10B78" w:rsidRDefault="00D10B78" w:rsidP="00D10B78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D10B78" w:rsidRDefault="00D10B78" w:rsidP="00D10B78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D10B78" w:rsidRDefault="00D10B78" w:rsidP="00D10B78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D10B78" w:rsidRDefault="00D10B78" w:rsidP="00D10B78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D10B78" w:rsidRDefault="00D10B78" w:rsidP="00D10B78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D10B78" w:rsidRDefault="00D10B78" w:rsidP="00D10B78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D10B78" w:rsidRDefault="00D10B78" w:rsidP="00D10B78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D10B78" w:rsidRDefault="00D10B78" w:rsidP="00D10B78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D10B78" w:rsidRDefault="00D10B78" w:rsidP="00D10B78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D10B78" w:rsidRDefault="00D10B78" w:rsidP="00D10B78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D10B78" w:rsidRDefault="00D10B78" w:rsidP="00D10B78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D10B78" w:rsidRDefault="00D10B78" w:rsidP="00D10B78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D10B78" w:rsidRDefault="00D10B78" w:rsidP="00D10B78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D10B78" w:rsidRDefault="00D10B78" w:rsidP="00D10B78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D10B78" w:rsidRDefault="00D10B78" w:rsidP="00D10B78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D10B78" w:rsidRDefault="00D10B78" w:rsidP="00D10B78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D10B78" w:rsidRDefault="00D10B78" w:rsidP="00D10B78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lastRenderedPageBreak/>
        <w:t>证明材料</w:t>
      </w:r>
    </w:p>
    <w:p w:rsidR="00D10B78" w:rsidRDefault="00D10B78" w:rsidP="00D10B78">
      <w:pPr>
        <w:spacing w:beforeLines="50" w:before="156" w:afterLines="50" w:after="156"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1171"/>
        <w:gridCol w:w="4476"/>
        <w:gridCol w:w="892"/>
        <w:gridCol w:w="802"/>
        <w:gridCol w:w="905"/>
        <w:gridCol w:w="657"/>
      </w:tblGrid>
      <w:tr w:rsidR="00D10B78" w:rsidTr="005F4190">
        <w:trPr>
          <w:trHeight w:val="540"/>
        </w:trPr>
        <w:tc>
          <w:tcPr>
            <w:tcW w:w="721" w:type="dxa"/>
            <w:shd w:val="clear" w:color="DBE5F1" w:fill="DBE5F1"/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171" w:type="dxa"/>
            <w:shd w:val="clear" w:color="DBE5F1" w:fill="DBE5F1"/>
            <w:vAlign w:val="center"/>
          </w:tcPr>
          <w:p w:rsidR="00D10B78" w:rsidRDefault="00D10B78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4476" w:type="dxa"/>
            <w:shd w:val="clear" w:color="DBE5F1" w:fill="DBE5F1"/>
            <w:vAlign w:val="center"/>
          </w:tcPr>
          <w:p w:rsidR="00D10B78" w:rsidRDefault="00D10B78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892" w:type="dxa"/>
            <w:shd w:val="clear" w:color="DBE5F1" w:fill="DBE5F1"/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要点</w:t>
            </w:r>
          </w:p>
        </w:tc>
        <w:tc>
          <w:tcPr>
            <w:tcW w:w="802" w:type="dxa"/>
            <w:shd w:val="clear" w:color="DBE5F1" w:fill="DBE5F1"/>
            <w:vAlign w:val="center"/>
          </w:tcPr>
          <w:p w:rsidR="00D10B78" w:rsidRDefault="00D10B78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评价阶段</w:t>
            </w:r>
          </w:p>
        </w:tc>
        <w:tc>
          <w:tcPr>
            <w:tcW w:w="905" w:type="dxa"/>
            <w:shd w:val="clear" w:color="DBE5F1" w:fill="DBE5F1"/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</w:t>
            </w:r>
          </w:p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类型</w:t>
            </w:r>
          </w:p>
        </w:tc>
        <w:tc>
          <w:tcPr>
            <w:tcW w:w="657" w:type="dxa"/>
            <w:shd w:val="clear" w:color="DBE5F1" w:fill="DBE5F1"/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D10B78" w:rsidTr="005F4190">
        <w:trPr>
          <w:trHeight w:val="27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建筑设计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建筑设计说明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应说明主要功能房间控制眩光的措施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防眩光措施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10B78" w:rsidTr="005F4190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建筑平面图 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应体现建筑平面及空间布局、地下室设置情况；应体现防眩光的设计措施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防眩光措施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10B78" w:rsidTr="005F4190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应体现改善内区采光设计措施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内区采光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10B78" w:rsidTr="005F4190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应体现改善地下室天然采光效果的设计措施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地下室采光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10B78" w:rsidTr="005F4190">
        <w:trPr>
          <w:trHeight w:val="270"/>
        </w:trPr>
        <w:tc>
          <w:tcPr>
            <w:tcW w:w="72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其他材料</w:t>
            </w:r>
          </w:p>
        </w:tc>
        <w:tc>
          <w:tcPr>
            <w:tcW w:w="11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天然采光系数现场检测报告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应包括在典型气象条件下对地下室的采光系数进行现场检测的数据，并应统计出地下室不同范围内采光系数满足标准要求的面积比例（指标要求与自评一致）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地下室采光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运行评价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10B78" w:rsidTr="005F4190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应包括在典型气象条件下对内区的采光系数进行现场检测的数据，并应统计出内区不同范围内采光系数满足标准要求的面积比例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内区采光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运行评价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10B78" w:rsidTr="005F4190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天然采光模拟分析报告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应包括对地下室不同网格范围内采光系数分布、满足标准要求面积比例（指标要求与自评一致）这两项指标的计算说明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地下室采光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10B78" w:rsidTr="005F4190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应包括对内区不同网格范围内采光系数分布、满足标准要求面积比例（指标要求与自评一致）这两项指标的计算说明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内区采光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10B78" w:rsidTr="005F4190">
        <w:trPr>
          <w:trHeight w:val="749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应包括对主要功能房间窗的不舒适眩光指数的计算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防眩光措施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8" w:rsidRDefault="00D10B7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10B78" w:rsidRDefault="00D10B78" w:rsidP="00D10B78"/>
    <w:p w:rsidR="00D10B78" w:rsidRDefault="00D10B78" w:rsidP="00D10B78"/>
    <w:p w:rsidR="00D10B78" w:rsidRDefault="00D10B78" w:rsidP="00D10B78"/>
    <w:p w:rsidR="00D10B78" w:rsidRDefault="00D10B78" w:rsidP="00D10B78"/>
    <w:p w:rsidR="00D10B78" w:rsidRDefault="00D10B78" w:rsidP="00D10B78"/>
    <w:p w:rsidR="00D10B78" w:rsidRDefault="00D10B78" w:rsidP="00D10B78"/>
    <w:p w:rsidR="00D10B78" w:rsidRDefault="00D10B78" w:rsidP="00D10B78"/>
    <w:p w:rsidR="00CD7425" w:rsidRDefault="00CD7425">
      <w:bookmarkStart w:id="0" w:name="_GoBack"/>
      <w:bookmarkEnd w:id="0"/>
    </w:p>
    <w:sectPr w:rsidR="00CD7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2E5" w:rsidRDefault="007F32E5" w:rsidP="00D10B78">
      <w:r>
        <w:separator/>
      </w:r>
    </w:p>
  </w:endnote>
  <w:endnote w:type="continuationSeparator" w:id="0">
    <w:p w:rsidR="007F32E5" w:rsidRDefault="007F32E5" w:rsidP="00D1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2E5" w:rsidRDefault="007F32E5" w:rsidP="00D10B78">
      <w:r>
        <w:separator/>
      </w:r>
    </w:p>
  </w:footnote>
  <w:footnote w:type="continuationSeparator" w:id="0">
    <w:p w:rsidR="007F32E5" w:rsidRDefault="007F32E5" w:rsidP="00D1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45"/>
    <w:multiLevelType w:val="multilevel"/>
    <w:tmpl w:val="00000045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6A"/>
    <w:multiLevelType w:val="multilevel"/>
    <w:tmpl w:val="0000006A"/>
    <w:lvl w:ilvl="0">
      <w:start w:val="1"/>
      <w:numFmt w:val="bullet"/>
      <w:lvlText w:val=""/>
      <w:lvlJc w:val="left"/>
      <w:pPr>
        <w:ind w:left="4106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FF5"/>
    <w:rsid w:val="007F32E5"/>
    <w:rsid w:val="00912FF5"/>
    <w:rsid w:val="00CD7425"/>
    <w:rsid w:val="00D1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0B7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D10B78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0B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0B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0B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0B78"/>
    <w:rPr>
      <w:sz w:val="18"/>
      <w:szCs w:val="18"/>
    </w:rPr>
  </w:style>
  <w:style w:type="character" w:customStyle="1" w:styleId="3Char">
    <w:name w:val="标题 3 Char"/>
    <w:basedOn w:val="a0"/>
    <w:link w:val="3"/>
    <w:rsid w:val="00D10B78"/>
    <w:rPr>
      <w:rFonts w:ascii="黑体" w:eastAsia="黑体" w:hAnsi="黑体" w:cs="Times New Roman"/>
      <w:sz w:val="24"/>
      <w:szCs w:val="32"/>
    </w:rPr>
  </w:style>
  <w:style w:type="character" w:customStyle="1" w:styleId="Char1">
    <w:name w:val="条文 Char"/>
    <w:link w:val="a5"/>
    <w:rsid w:val="00D10B78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列出段落1"/>
    <w:basedOn w:val="a"/>
    <w:rsid w:val="00D10B78"/>
    <w:pPr>
      <w:ind w:firstLineChars="200" w:firstLine="420"/>
    </w:pPr>
  </w:style>
  <w:style w:type="paragraph" w:customStyle="1" w:styleId="a5">
    <w:name w:val="条文"/>
    <w:basedOn w:val="a"/>
    <w:link w:val="Char1"/>
    <w:rsid w:val="00D10B78"/>
    <w:pPr>
      <w:spacing w:line="300" w:lineRule="auto"/>
      <w:outlineLvl w:val="2"/>
    </w:pPr>
    <w:rPr>
      <w:sz w:val="24"/>
    </w:rPr>
  </w:style>
  <w:style w:type="character" w:customStyle="1" w:styleId="2Char">
    <w:name w:val="标题 2 Char"/>
    <w:basedOn w:val="a0"/>
    <w:link w:val="2"/>
    <w:uiPriority w:val="9"/>
    <w:semiHidden/>
    <w:rsid w:val="00D10B7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0B7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D10B78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0B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0B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0B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0B78"/>
    <w:rPr>
      <w:sz w:val="18"/>
      <w:szCs w:val="18"/>
    </w:rPr>
  </w:style>
  <w:style w:type="character" w:customStyle="1" w:styleId="3Char">
    <w:name w:val="标题 3 Char"/>
    <w:basedOn w:val="a0"/>
    <w:link w:val="3"/>
    <w:rsid w:val="00D10B78"/>
    <w:rPr>
      <w:rFonts w:ascii="黑体" w:eastAsia="黑体" w:hAnsi="黑体" w:cs="Times New Roman"/>
      <w:sz w:val="24"/>
      <w:szCs w:val="32"/>
    </w:rPr>
  </w:style>
  <w:style w:type="character" w:customStyle="1" w:styleId="Char1">
    <w:name w:val="条文 Char"/>
    <w:link w:val="a5"/>
    <w:rsid w:val="00D10B78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列出段落1"/>
    <w:basedOn w:val="a"/>
    <w:rsid w:val="00D10B78"/>
    <w:pPr>
      <w:ind w:firstLineChars="200" w:firstLine="420"/>
    </w:pPr>
  </w:style>
  <w:style w:type="paragraph" w:customStyle="1" w:styleId="a5">
    <w:name w:val="条文"/>
    <w:basedOn w:val="a"/>
    <w:link w:val="Char1"/>
    <w:rsid w:val="00D10B78"/>
    <w:pPr>
      <w:spacing w:line="300" w:lineRule="auto"/>
      <w:outlineLvl w:val="2"/>
    </w:pPr>
    <w:rPr>
      <w:sz w:val="24"/>
    </w:rPr>
  </w:style>
  <w:style w:type="character" w:customStyle="1" w:styleId="2Char">
    <w:name w:val="标题 2 Char"/>
    <w:basedOn w:val="a0"/>
    <w:link w:val="2"/>
    <w:uiPriority w:val="9"/>
    <w:semiHidden/>
    <w:rsid w:val="00D10B7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195</Words>
  <Characters>1113</Characters>
  <Application>Microsoft Office Word</Application>
  <DocSecurity>0</DocSecurity>
  <Lines>9</Lines>
  <Paragraphs>2</Paragraphs>
  <ScaleCrop>false</ScaleCrop>
  <Company>Microsoft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2018-07-04T07:46:00Z</dcterms:created>
  <dcterms:modified xsi:type="dcterms:W3CDTF">2018-07-04T07:46:00Z</dcterms:modified>
</cp:coreProperties>
</file>