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AF29" w14:textId="77777777" w:rsidR="0028276B" w:rsidRDefault="0028276B" w:rsidP="0028276B">
      <w:pPr>
        <w:pStyle w:val="3"/>
        <w:spacing w:line="288" w:lineRule="auto"/>
      </w:pPr>
      <w:r>
        <w:t>8.2.9</w:t>
      </w:r>
      <w:r>
        <w:rPr>
          <w:rFonts w:hint="eastAsia"/>
        </w:rPr>
        <w:t>采取措施降低热岛强度。（总分</w:t>
      </w:r>
      <w:r>
        <w:t>10</w:t>
      </w:r>
      <w:r>
        <w:rPr>
          <w:rFonts w:hint="eastAsia"/>
        </w:rPr>
        <w:t>分）</w:t>
      </w:r>
    </w:p>
    <w:p w14:paraId="4A6A8957" w14:textId="77777777" w:rsidR="0028276B" w:rsidRDefault="0028276B" w:rsidP="0028276B">
      <w:pPr>
        <w:numPr>
          <w:ilvl w:val="0"/>
          <w:numId w:val="1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p w14:paraId="7423B973" w14:textId="77777777" w:rsidR="0028276B" w:rsidRDefault="0028276B" w:rsidP="0028276B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rFonts w:ascii="宋体"/>
          <w:b/>
          <w:bCs/>
          <w:lang w:val="zh-CN"/>
        </w:rPr>
      </w:pPr>
      <w:r>
        <w:rPr>
          <w:rFonts w:ascii="宋体" w:hint="eastAsia"/>
          <w:b/>
          <w:bCs/>
          <w:lang w:val="zh-CN"/>
        </w:rPr>
        <w:t>乔木、构筑物遮阴：</w:t>
      </w:r>
    </w:p>
    <w:p w14:paraId="198E71BB" w14:textId="77777777" w:rsidR="0028276B" w:rsidRDefault="0028276B" w:rsidP="0028276B">
      <w:pPr>
        <w:spacing w:line="288" w:lineRule="auto"/>
        <w:rPr>
          <w:szCs w:val="21"/>
        </w:rPr>
      </w:pPr>
      <w:r>
        <w:rPr>
          <w:rFonts w:hint="eastAsia"/>
          <w:szCs w:val="21"/>
        </w:rPr>
        <w:t>红线范围内户外活动场地内的遮荫措施有：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  <w:szCs w:val="21"/>
        </w:rPr>
        <w:t>乔木、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  <w:szCs w:val="21"/>
        </w:rPr>
        <w:t>构筑物（构筑物类型：）</w:t>
      </w:r>
      <w:r>
        <w:rPr>
          <w:rFonts w:hint="eastAsia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以上皆无。</w:t>
      </w:r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880"/>
        <w:gridCol w:w="4666"/>
        <w:gridCol w:w="1417"/>
        <w:gridCol w:w="1418"/>
      </w:tblGrid>
      <w:tr w:rsidR="0028276B" w14:paraId="016C55D0" w14:textId="77777777" w:rsidTr="004F75E4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DDA4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93BB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C146D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84282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28276B" w14:paraId="5A6BBE8B" w14:textId="77777777" w:rsidTr="004F75E4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C536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6863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场地中处于建筑阴影区外的步道、游憩场、庭院、广场等室外活动场地设有乔木、花架等遮阴措施的面积比例，住宅建筑达到</w:t>
            </w:r>
            <w:r>
              <w:rPr>
                <w:rFonts w:ascii="宋体" w:hAnsi="宋体"/>
                <w:szCs w:val="21"/>
                <w:lang w:val="zh-CN"/>
              </w:rPr>
              <w:t xml:space="preserve"> 30%, </w:t>
            </w:r>
            <w:r>
              <w:rPr>
                <w:rFonts w:ascii="宋体" w:hAnsi="宋体" w:hint="eastAsia"/>
                <w:szCs w:val="21"/>
                <w:lang w:val="zh-CN"/>
              </w:rPr>
              <w:t>公共建筑达到</w:t>
            </w:r>
            <w:r>
              <w:rPr>
                <w:rFonts w:ascii="宋体" w:hAnsi="宋体"/>
                <w:szCs w:val="21"/>
                <w:lang w:val="zh-CN"/>
              </w:rPr>
              <w:t xml:space="preserve"> 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4CAF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A5F0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28276B" w14:paraId="286167EA" w14:textId="77777777" w:rsidTr="004F75E4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AE43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4364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场地中处于建筑阴影区外的机动车道，路面太阳辐射反射系数不小于</w:t>
            </w:r>
            <w:r>
              <w:rPr>
                <w:rFonts w:ascii="宋体" w:hAnsi="宋体"/>
                <w:szCs w:val="21"/>
                <w:lang w:val="zh-CN"/>
              </w:rPr>
              <w:t xml:space="preserve"> 0.4 </w:t>
            </w:r>
            <w:r>
              <w:rPr>
                <w:rFonts w:ascii="宋体" w:hAnsi="宋体" w:hint="eastAsia"/>
                <w:szCs w:val="21"/>
                <w:lang w:val="zh-CN"/>
              </w:rPr>
              <w:t>或设有遮阴面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积较大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的行道树的路段长度超过</w:t>
            </w:r>
            <w:r>
              <w:rPr>
                <w:rFonts w:ascii="宋体" w:hAnsi="宋体"/>
                <w:szCs w:val="21"/>
                <w:lang w:val="zh-CN"/>
              </w:rPr>
              <w:t xml:space="preserve"> 70%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2154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70BA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28276B" w14:paraId="6F546D15" w14:textId="77777777" w:rsidTr="004F75E4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3567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8F81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屋顶的绿化面积、太阳能板水平投影面积以及太阳辐射反射系数不小于</w:t>
            </w:r>
            <w:r>
              <w:rPr>
                <w:rFonts w:ascii="宋体" w:hAnsi="宋体"/>
                <w:szCs w:val="21"/>
                <w:lang w:val="zh-CN"/>
              </w:rPr>
              <w:t xml:space="preserve"> 0.4 </w:t>
            </w:r>
            <w:r>
              <w:rPr>
                <w:rFonts w:ascii="宋体" w:hAnsi="宋体" w:hint="eastAsia"/>
                <w:szCs w:val="21"/>
                <w:lang w:val="zh-CN"/>
              </w:rPr>
              <w:t>的屋面面积合计达到</w:t>
            </w:r>
            <w:r>
              <w:rPr>
                <w:rFonts w:ascii="宋体" w:hAnsi="宋体"/>
                <w:szCs w:val="21"/>
                <w:lang w:val="zh-CN"/>
              </w:rPr>
              <w:t xml:space="preserve"> 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0E98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C909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28276B" w14:paraId="5B3B35BB" w14:textId="77777777" w:rsidTr="004F75E4">
        <w:trPr>
          <w:trHeight w:val="27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A090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1775F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6727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</w:tbl>
    <w:p w14:paraId="09893CB9" w14:textId="77777777" w:rsidR="0028276B" w:rsidRDefault="0028276B" w:rsidP="0028276B">
      <w:pPr>
        <w:spacing w:line="288" w:lineRule="auto"/>
        <w:rPr>
          <w:szCs w:val="21"/>
        </w:rPr>
      </w:pPr>
    </w:p>
    <w:p w14:paraId="70EB4D5C" w14:textId="77777777" w:rsidR="0028276B" w:rsidRDefault="0028276B" w:rsidP="0028276B">
      <w:pPr>
        <w:numPr>
          <w:ilvl w:val="0"/>
          <w:numId w:val="1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0E03BF8E" w14:textId="77777777" w:rsidR="0028276B" w:rsidRDefault="0028276B" w:rsidP="0028276B">
      <w:pPr>
        <w:spacing w:line="288" w:lineRule="auto"/>
        <w:rPr>
          <w:rFonts w:ascii="宋体"/>
        </w:rPr>
      </w:pPr>
      <w:r>
        <w:rPr>
          <w:rFonts w:ascii="宋体" w:hAnsi="宋体" w:hint="eastAsia"/>
          <w:lang w:val="zh-CN"/>
        </w:rPr>
        <w:t>建筑类型：</w:t>
      </w:r>
      <w:r>
        <w:rPr>
          <w:rFonts w:hint="eastAsia"/>
          <w:kern w:val="0"/>
          <w:szCs w:val="21"/>
        </w:rPr>
        <w:t>□住宅建筑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□公共建筑</w:t>
      </w:r>
    </w:p>
    <w:p w14:paraId="40D86B40" w14:textId="77777777" w:rsidR="0028276B" w:rsidRDefault="0028276B" w:rsidP="0028276B">
      <w:pPr>
        <w:spacing w:line="288" w:lineRule="auto"/>
        <w:rPr>
          <w:szCs w:val="21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室外活动</w:t>
      </w:r>
      <w:r>
        <w:rPr>
          <w:rFonts w:hint="eastAsia"/>
          <w:szCs w:val="21"/>
        </w:rPr>
        <w:t>场地遮阴面积比例：</w:t>
      </w:r>
      <w:r>
        <w:rPr>
          <w:u w:val="single"/>
          <w:lang w:val="zh-CN"/>
        </w:rPr>
        <w:t xml:space="preserve">      </w:t>
      </w:r>
      <w:r>
        <w:rPr>
          <w:szCs w:val="21"/>
        </w:rPr>
        <w:t>%</w:t>
      </w:r>
    </w:p>
    <w:p w14:paraId="499746B9" w14:textId="77777777" w:rsidR="0028276B" w:rsidRDefault="0028276B" w:rsidP="0028276B">
      <w:pPr>
        <w:spacing w:line="288" w:lineRule="auto"/>
        <w:rPr>
          <w:szCs w:val="21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场地中处于建筑阴影区外的机动车道，路面太阳辐射反射系数：</w:t>
      </w:r>
      <w:r>
        <w:rPr>
          <w:u w:val="single"/>
          <w:lang w:val="zh-CN"/>
        </w:rPr>
        <w:t xml:space="preserve">      </w:t>
      </w:r>
    </w:p>
    <w:p w14:paraId="4B810431" w14:textId="77777777" w:rsidR="0028276B" w:rsidRDefault="0028276B" w:rsidP="0028276B">
      <w:pPr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设有遮阴面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积较大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的行道树的路段长度：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2F8AB59A" w14:textId="77777777" w:rsidR="0028276B" w:rsidRDefault="0028276B" w:rsidP="0028276B">
      <w:pPr>
        <w:spacing w:line="288" w:lineRule="auto"/>
        <w:rPr>
          <w:szCs w:val="21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屋顶的绿化面积、太阳能板水平投影面积以及太阳辐射反射系数不小于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0.4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的屋面面积</w:t>
      </w:r>
      <w:r>
        <w:rPr>
          <w:rFonts w:hint="eastAsia"/>
          <w:szCs w:val="21"/>
        </w:rPr>
        <w:t>比例：</w:t>
      </w:r>
      <w:r>
        <w:rPr>
          <w:u w:val="single"/>
          <w:lang w:val="zh-CN"/>
        </w:rPr>
        <w:t xml:space="preserve">      </w:t>
      </w:r>
      <w:r>
        <w:rPr>
          <w:szCs w:val="21"/>
        </w:rPr>
        <w:t>%</w:t>
      </w:r>
    </w:p>
    <w:p w14:paraId="77659AB3" w14:textId="77777777" w:rsidR="0028276B" w:rsidRDefault="0028276B" w:rsidP="0028276B">
      <w:pPr>
        <w:spacing w:line="288" w:lineRule="auto"/>
        <w:rPr>
          <w:szCs w:val="21"/>
        </w:rPr>
        <w:sectPr w:rsidR="0028276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FECC95B" w14:textId="77777777" w:rsidR="0028276B" w:rsidRDefault="0028276B" w:rsidP="0028276B">
      <w:pPr>
        <w:numPr>
          <w:ilvl w:val="0"/>
          <w:numId w:val="1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证明材料</w:t>
      </w:r>
    </w:p>
    <w:p w14:paraId="09F55325" w14:textId="77777777" w:rsidR="0028276B" w:rsidRDefault="0028276B" w:rsidP="0028276B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28276B" w14:paraId="40F44F42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238376EE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5763CB1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402F691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0B9EF38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81B0951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0413753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8276B" w14:paraId="206B5A5C" w14:textId="77777777" w:rsidTr="004F75E4">
        <w:trPr>
          <w:trHeight w:val="1350"/>
        </w:trPr>
        <w:tc>
          <w:tcPr>
            <w:tcW w:w="740" w:type="dxa"/>
            <w:vMerge w:val="restart"/>
            <w:vAlign w:val="center"/>
          </w:tcPr>
          <w:p w14:paraId="77916439" w14:textId="77777777" w:rsidR="0028276B" w:rsidRDefault="0028276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vAlign w:val="center"/>
          </w:tcPr>
          <w:p w14:paraId="1FBEE954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规划总平面图</w:t>
            </w:r>
          </w:p>
        </w:tc>
        <w:tc>
          <w:tcPr>
            <w:tcW w:w="3855" w:type="dxa"/>
            <w:vAlign w:val="center"/>
          </w:tcPr>
          <w:p w14:paraId="7A09F07D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应体现场地内建筑、步道、庭院、广场、游憩场、地面停车场等的位置及面积，场地构筑物的位置、数量、遮荫面积等技术经济指标（指标要求与自评一致）</w:t>
            </w:r>
          </w:p>
        </w:tc>
        <w:tc>
          <w:tcPr>
            <w:tcW w:w="905" w:type="dxa"/>
            <w:vAlign w:val="center"/>
          </w:tcPr>
          <w:p w14:paraId="6A5BD55B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014FE44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1F942A0E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5176453A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14A98B0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乔木种植平面图</w:t>
            </w:r>
          </w:p>
        </w:tc>
        <w:tc>
          <w:tcPr>
            <w:tcW w:w="3855" w:type="dxa"/>
            <w:vAlign w:val="center"/>
          </w:tcPr>
          <w:p w14:paraId="65D070E0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应体现所有乔木的名称及其所在位置</w:t>
            </w:r>
          </w:p>
        </w:tc>
        <w:tc>
          <w:tcPr>
            <w:tcW w:w="905" w:type="dxa"/>
            <w:vAlign w:val="center"/>
          </w:tcPr>
          <w:p w14:paraId="08873285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45A9D66F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01F37525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21E2ABD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A5A4B5C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乔木苗表</w:t>
            </w:r>
            <w:proofErr w:type="gramEnd"/>
          </w:p>
        </w:tc>
        <w:tc>
          <w:tcPr>
            <w:tcW w:w="3855" w:type="dxa"/>
            <w:vAlign w:val="center"/>
          </w:tcPr>
          <w:p w14:paraId="6509D2D3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应体现各类乔木的名称、数量、成年乔木的树冠正投影面积</w:t>
            </w:r>
          </w:p>
        </w:tc>
        <w:tc>
          <w:tcPr>
            <w:tcW w:w="905" w:type="dxa"/>
            <w:vAlign w:val="center"/>
          </w:tcPr>
          <w:p w14:paraId="44E9D0A7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58F67500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55624BA6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73E1AE62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3EBCA4F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日照分析报告</w:t>
            </w:r>
          </w:p>
        </w:tc>
        <w:tc>
          <w:tcPr>
            <w:tcW w:w="3855" w:type="dxa"/>
            <w:vAlign w:val="center"/>
          </w:tcPr>
          <w:p w14:paraId="77BD080C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9EA9BE9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286C14AF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4FCBD959" w14:textId="77777777" w:rsidTr="004F75E4">
        <w:trPr>
          <w:trHeight w:val="1080"/>
        </w:trPr>
        <w:tc>
          <w:tcPr>
            <w:tcW w:w="740" w:type="dxa"/>
            <w:vMerge/>
            <w:vAlign w:val="center"/>
          </w:tcPr>
          <w:p w14:paraId="36FD037C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37B8045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户外活动场地遮阴面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积比例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855" w:type="dxa"/>
            <w:vAlign w:val="center"/>
          </w:tcPr>
          <w:p w14:paraId="53F490D6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应包括乔木以及构筑物遮荫面积的详细计算；如果计算中考虑了建筑日照投影遮阴，则还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需包括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建筑日照投影遮阴面积的计算</w:t>
            </w:r>
          </w:p>
        </w:tc>
        <w:tc>
          <w:tcPr>
            <w:tcW w:w="905" w:type="dxa"/>
            <w:vAlign w:val="center"/>
          </w:tcPr>
          <w:p w14:paraId="68653D4D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EEDB1D4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72209A7B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5A5E022C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3863FD4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项目场地内道路交通组织</w:t>
            </w:r>
          </w:p>
        </w:tc>
        <w:tc>
          <w:tcPr>
            <w:tcW w:w="3855" w:type="dxa"/>
            <w:vAlign w:val="center"/>
          </w:tcPr>
          <w:p w14:paraId="304B8CCC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5D652D59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D8994DD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4DBB3963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67D3435D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ECC292B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路面构造做法大样</w:t>
            </w:r>
          </w:p>
        </w:tc>
        <w:tc>
          <w:tcPr>
            <w:tcW w:w="3855" w:type="dxa"/>
            <w:vAlign w:val="center"/>
          </w:tcPr>
          <w:p w14:paraId="69541D0D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应体现各类铺装的类型、位置、太阳辐射反射系数及面积</w:t>
            </w:r>
          </w:p>
        </w:tc>
        <w:tc>
          <w:tcPr>
            <w:tcW w:w="905" w:type="dxa"/>
            <w:vAlign w:val="center"/>
          </w:tcPr>
          <w:p w14:paraId="5AEB7208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58295D8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05322F2A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22957477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5AA1C97A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道路用热反射涂料性能检测报告</w:t>
            </w:r>
          </w:p>
        </w:tc>
        <w:tc>
          <w:tcPr>
            <w:tcW w:w="3855" w:type="dxa"/>
            <w:vAlign w:val="center"/>
          </w:tcPr>
          <w:p w14:paraId="0BBB3BC5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05" w:type="dxa"/>
            <w:vAlign w:val="center"/>
          </w:tcPr>
          <w:p w14:paraId="28F09E01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1EA5100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2CF32C87" w14:textId="77777777" w:rsidTr="004F75E4">
        <w:trPr>
          <w:trHeight w:val="1080"/>
        </w:trPr>
        <w:tc>
          <w:tcPr>
            <w:tcW w:w="740" w:type="dxa"/>
            <w:vMerge/>
            <w:vAlign w:val="center"/>
          </w:tcPr>
          <w:p w14:paraId="714820A4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719313B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机动车道遮阴及高反射面积比例计算书</w:t>
            </w:r>
          </w:p>
        </w:tc>
        <w:tc>
          <w:tcPr>
            <w:tcW w:w="3855" w:type="dxa"/>
            <w:vAlign w:val="center"/>
          </w:tcPr>
          <w:p w14:paraId="1C8295CD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应包括道路路面各类铺装的类型、太阳辐射反射系数（需提供反射系数的数据来源）及面积的统计（指标要求与自评一致）</w:t>
            </w:r>
          </w:p>
        </w:tc>
        <w:tc>
          <w:tcPr>
            <w:tcW w:w="905" w:type="dxa"/>
            <w:vAlign w:val="center"/>
          </w:tcPr>
          <w:p w14:paraId="58B9AC91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61E215F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60473FEE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080009EB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04892BCE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屋面施工图</w:t>
            </w:r>
          </w:p>
        </w:tc>
        <w:tc>
          <w:tcPr>
            <w:tcW w:w="3855" w:type="dxa"/>
            <w:vAlign w:val="center"/>
          </w:tcPr>
          <w:p w14:paraId="1D62307D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5AEAFD28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3FEC7E5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34561F83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286C7FF4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5757C18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屋面做法大样</w:t>
            </w:r>
          </w:p>
        </w:tc>
        <w:tc>
          <w:tcPr>
            <w:tcW w:w="3855" w:type="dxa"/>
            <w:vAlign w:val="center"/>
          </w:tcPr>
          <w:p w14:paraId="6726975B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E897AD0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B3967F7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76A56A02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6703A194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15AA56D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屋面涂料性能检测报告</w:t>
            </w:r>
          </w:p>
        </w:tc>
        <w:tc>
          <w:tcPr>
            <w:tcW w:w="3855" w:type="dxa"/>
            <w:vAlign w:val="center"/>
          </w:tcPr>
          <w:p w14:paraId="5D890756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6CEB45AE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8DD2371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8276B" w14:paraId="04F04727" w14:textId="77777777" w:rsidTr="004F75E4">
        <w:trPr>
          <w:trHeight w:val="1080"/>
        </w:trPr>
        <w:tc>
          <w:tcPr>
            <w:tcW w:w="740" w:type="dxa"/>
            <w:vMerge/>
            <w:vAlign w:val="center"/>
          </w:tcPr>
          <w:p w14:paraId="42E0C543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3FC82F7" w14:textId="77777777" w:rsidR="0028276B" w:rsidRDefault="0028276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屋面遮阴及高反射面积比例计算书</w:t>
            </w:r>
          </w:p>
        </w:tc>
        <w:tc>
          <w:tcPr>
            <w:tcW w:w="3855" w:type="dxa"/>
            <w:vAlign w:val="center"/>
          </w:tcPr>
          <w:p w14:paraId="49391F96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应包括建筑屋面各类铺装的类型、太阳辐射反射系数（需提供反射系数的数据来源）及面积的统计（指标要求与自评一致）</w:t>
            </w:r>
          </w:p>
        </w:tc>
        <w:tc>
          <w:tcPr>
            <w:tcW w:w="905" w:type="dxa"/>
            <w:vAlign w:val="center"/>
          </w:tcPr>
          <w:p w14:paraId="2F7D9FE0" w14:textId="77777777" w:rsidR="0028276B" w:rsidRDefault="0028276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16B1AD0" w14:textId="77777777" w:rsidR="0028276B" w:rsidRDefault="0028276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10E64F61" w14:textId="77777777" w:rsidR="0028276B" w:rsidRDefault="0028276B" w:rsidP="0028276B">
      <w:pPr>
        <w:spacing w:beforeLines="50" w:before="156" w:afterLines="50" w:after="156" w:line="288" w:lineRule="auto"/>
        <w:rPr>
          <w:b/>
        </w:rPr>
        <w:sectPr w:rsidR="0028276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E8001A7" w14:textId="77777777" w:rsidR="00783368" w:rsidRDefault="00783368" w:rsidP="00783368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lastRenderedPageBreak/>
        <w:t>实际提交材料：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783368" w14:paraId="1CC6B6D7" w14:textId="77777777" w:rsidTr="004F75E4">
        <w:trPr>
          <w:trHeight w:val="1397"/>
          <w:jc w:val="center"/>
        </w:trPr>
        <w:tc>
          <w:tcPr>
            <w:tcW w:w="8305" w:type="dxa"/>
          </w:tcPr>
          <w:p w14:paraId="3FCC5431" w14:textId="77777777" w:rsidR="00783368" w:rsidRDefault="00783368" w:rsidP="004F75E4">
            <w:pPr>
              <w:spacing w:line="288" w:lineRule="auto"/>
            </w:pPr>
          </w:p>
        </w:tc>
      </w:tr>
    </w:tbl>
    <w:p w14:paraId="0E61242F" w14:textId="77777777" w:rsidR="00250546" w:rsidRPr="00783368" w:rsidRDefault="00250546" w:rsidP="00783368"/>
    <w:sectPr w:rsidR="00250546" w:rsidRPr="0078336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40DB" w14:textId="77777777" w:rsidR="00395AD6" w:rsidRDefault="00395AD6" w:rsidP="00F934F5">
      <w:r>
        <w:separator/>
      </w:r>
    </w:p>
  </w:endnote>
  <w:endnote w:type="continuationSeparator" w:id="0">
    <w:p w14:paraId="4C2C39A8" w14:textId="77777777" w:rsidR="00395AD6" w:rsidRDefault="00395AD6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EB26" w14:textId="77777777" w:rsidR="00395AD6" w:rsidRDefault="00395AD6" w:rsidP="00F934F5">
      <w:r>
        <w:separator/>
      </w:r>
    </w:p>
  </w:footnote>
  <w:footnote w:type="continuationSeparator" w:id="0">
    <w:p w14:paraId="2DDD314F" w14:textId="77777777" w:rsidR="00395AD6" w:rsidRDefault="00395AD6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0733" w14:textId="4B6DB79C" w:rsidR="00F934F5" w:rsidRDefault="00F934F5" w:rsidP="008743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1191773">
    <w:abstractNumId w:val="4"/>
  </w:num>
  <w:num w:numId="2" w16cid:durableId="2134784634">
    <w:abstractNumId w:val="1"/>
  </w:num>
  <w:num w:numId="3" w16cid:durableId="1501852428">
    <w:abstractNumId w:val="13"/>
  </w:num>
  <w:num w:numId="4" w16cid:durableId="1792938583">
    <w:abstractNumId w:val="3"/>
  </w:num>
  <w:num w:numId="5" w16cid:durableId="1744915700">
    <w:abstractNumId w:val="14"/>
  </w:num>
  <w:num w:numId="6" w16cid:durableId="1521774021">
    <w:abstractNumId w:val="8"/>
  </w:num>
  <w:num w:numId="7" w16cid:durableId="1034886687">
    <w:abstractNumId w:val="9"/>
  </w:num>
  <w:num w:numId="8" w16cid:durableId="1934821918">
    <w:abstractNumId w:val="11"/>
  </w:num>
  <w:num w:numId="9" w16cid:durableId="1928883415">
    <w:abstractNumId w:val="6"/>
  </w:num>
  <w:num w:numId="10" w16cid:durableId="1011689275">
    <w:abstractNumId w:val="0"/>
  </w:num>
  <w:num w:numId="11" w16cid:durableId="1412460640">
    <w:abstractNumId w:val="12"/>
  </w:num>
  <w:num w:numId="12" w16cid:durableId="1937202055">
    <w:abstractNumId w:val="2"/>
  </w:num>
  <w:num w:numId="13" w16cid:durableId="1146749090">
    <w:abstractNumId w:val="7"/>
  </w:num>
  <w:num w:numId="14" w16cid:durableId="18436751">
    <w:abstractNumId w:val="5"/>
  </w:num>
  <w:num w:numId="15" w16cid:durableId="1322273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114B17"/>
    <w:rsid w:val="002342C5"/>
    <w:rsid w:val="00250546"/>
    <w:rsid w:val="0028276B"/>
    <w:rsid w:val="002D3898"/>
    <w:rsid w:val="00395AD6"/>
    <w:rsid w:val="0045130A"/>
    <w:rsid w:val="006F6B12"/>
    <w:rsid w:val="00771D52"/>
    <w:rsid w:val="00783368"/>
    <w:rsid w:val="0087431C"/>
    <w:rsid w:val="008E3E08"/>
    <w:rsid w:val="009D74C9"/>
    <w:rsid w:val="00A8431B"/>
    <w:rsid w:val="00AD01E6"/>
    <w:rsid w:val="00B65AA7"/>
    <w:rsid w:val="00B7548E"/>
    <w:rsid w:val="00BA7A1F"/>
    <w:rsid w:val="00BC5C60"/>
    <w:rsid w:val="00CE339A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672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14</cp:revision>
  <dcterms:created xsi:type="dcterms:W3CDTF">2022-09-08T02:10:00Z</dcterms:created>
  <dcterms:modified xsi:type="dcterms:W3CDTF">2022-10-20T08:35:00Z</dcterms:modified>
</cp:coreProperties>
</file>