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14</w:t>
      </w:r>
      <w:bookmarkEnd w:id="0"/>
      <w:r>
        <w:t xml:space="preserve"> </w:t>
      </w:r>
      <w:r>
        <w:rPr>
          <w:rFonts w:hint="eastAsia"/>
        </w:rPr>
        <w:t>采用工业化方式生产和建设，预制装配化率≥80%。（总分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采用工业化方式生产和建设，预制装配化率≥80%。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预制装配化率计算</w:t>
      </w:r>
      <w:r>
        <w:t>说明。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1.建筑及结构专业图纸的设计说明：应体现预制构件的应用位置、材质说明和尺寸大小；</w:t>
      </w:r>
    </w:p>
    <w:p>
      <w:pPr>
        <w:ind w:firstLine="420"/>
      </w:pPr>
      <w:r>
        <w:rPr>
          <w:rFonts w:hint="eastAsia"/>
        </w:rPr>
        <w:t>2.预制构件用量比例计算书：应体现预制构件的应用位置、应用的量，并与概预算清单中的数据一致；</w:t>
      </w:r>
    </w:p>
    <w:p>
      <w:pPr>
        <w:ind w:firstLine="420"/>
      </w:pPr>
      <w:r>
        <w:rPr>
          <w:rFonts w:hint="eastAsia"/>
        </w:rPr>
        <w:t>3.工程材料用量概预算清单：应在表中明确材料名称及相关型号；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E23AA"/>
    <w:rsid w:val="1B1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2019-09-02T01:51:00Z</dcterms:created>
  <dc:creator>小情绪丶</dc:creator>
  <cp:lastModifiedBy>小情绪丶</cp:lastModifiedBy>
  <dcterms:modified xsi:type="dcterms:W3CDTF">2019-09-02T01:52:00Z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