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19</w:t>
      </w:r>
      <w:bookmarkEnd w:id="0"/>
      <w:r>
        <w:t xml:space="preserve"> </w:t>
      </w:r>
      <w:r>
        <w:rPr>
          <w:rFonts w:hint="eastAsia"/>
        </w:rPr>
        <w:t>采用微生物处理技术处理有机垃圾，减少有机垃圾排放量。（总分</w:t>
      </w:r>
      <w:r>
        <w:t>1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在应用微生物处理技术时，应对垃圾站房的规划选址、建设规模、设备型号等进行合理设计，满足相关标准的要求，实现经济和环保效益最优。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简要</w:t>
      </w:r>
      <w:r>
        <w:t>说明</w:t>
      </w:r>
      <w:r>
        <w:rPr>
          <w:rFonts w:hint="eastAsia"/>
        </w:rPr>
        <w:t>处理有机垃圾的微生物处理技术。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.垃圾站房施工图（应含有风、水、电等专业图纸）。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395D"/>
    <w:rsid w:val="33A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2019-09-02T01:52:00Z</dcterms:created>
  <dc:creator>小情绪丶</dc:creator>
  <cp:lastModifiedBy>小情绪丶</cp:lastModifiedBy>
  <dcterms:modified xsi:type="dcterms:W3CDTF">2019-09-02T01:53:10Z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