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r>
        <w:rPr>
          <w:rFonts w:hint="eastAsia"/>
        </w:rPr>
        <w:t>1</w:t>
      </w:r>
      <w:r>
        <w:t>1</w:t>
      </w:r>
      <w:r>
        <w:rPr>
          <w:rFonts w:hint="eastAsia"/>
        </w:rPr>
        <w:t>.2.</w:t>
      </w:r>
      <w:r>
        <w:t>4</w:t>
      </w:r>
      <w:bookmarkEnd w:id="0"/>
      <w:r>
        <w:t xml:space="preserve"> </w:t>
      </w:r>
      <w:r>
        <w:rPr>
          <w:rFonts w:hint="eastAsia"/>
        </w:rPr>
        <w:t>围护结构采用保温结构一体化或性能优越、技术先进的外墙外保温技术，热工性能比国家及地方现行相关建筑节能设计标准的规定高20%，或者供暖空调全年计算负荷降低幅度达到15%。（总分</w:t>
      </w:r>
      <w:r>
        <w:t>2</w:t>
      </w:r>
      <w:r>
        <w:rPr>
          <w:rFonts w:hint="eastAsia"/>
        </w:rPr>
        <w:t>分</w:t>
      </w:r>
      <w:r>
        <w:t>）</w:t>
      </w:r>
    </w:p>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评价内容</w:t>
            </w:r>
          </w:p>
        </w:tc>
        <w:tc>
          <w:tcPr>
            <w:tcW w:w="1276" w:type="dxa"/>
            <w:noWrap w:val="0"/>
            <w:vAlign w:val="center"/>
          </w:tcPr>
          <w:p>
            <w:pPr>
              <w:pStyle w:val="5"/>
            </w:pPr>
            <w:r>
              <w:rPr>
                <w:rFonts w:hint="eastAsia"/>
              </w:rPr>
              <w:t>评价分值（分）</w:t>
            </w:r>
          </w:p>
        </w:tc>
        <w:tc>
          <w:tcPr>
            <w:tcW w:w="1134"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1、围护结构采用保温结构一体化或性能优越、技术先进的外墙外保温技术。</w:t>
            </w:r>
          </w:p>
        </w:tc>
        <w:tc>
          <w:tcPr>
            <w:tcW w:w="1276" w:type="dxa"/>
            <w:noWrap w:val="0"/>
            <w:vAlign w:val="center"/>
          </w:tcPr>
          <w:p>
            <w:pPr>
              <w:pStyle w:val="5"/>
            </w:pPr>
            <w:r>
              <w:t>1</w:t>
            </w:r>
          </w:p>
        </w:tc>
        <w:tc>
          <w:tcPr>
            <w:tcW w:w="1134"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2、围护结构的热工性能或者供暖空调全年计算负荷降低幅度满足条文技术指标要求。</w:t>
            </w:r>
          </w:p>
        </w:tc>
        <w:tc>
          <w:tcPr>
            <w:tcW w:w="1276" w:type="dxa"/>
            <w:noWrap w:val="0"/>
            <w:vAlign w:val="center"/>
          </w:tcPr>
          <w:p>
            <w:pPr>
              <w:pStyle w:val="5"/>
            </w:pPr>
            <w:r>
              <w:t>2</w:t>
            </w:r>
          </w:p>
        </w:tc>
        <w:tc>
          <w:tcPr>
            <w:tcW w:w="1134"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062" w:type="dxa"/>
            <w:noWrap w:val="0"/>
            <w:vAlign w:val="top"/>
          </w:tcPr>
          <w:p>
            <w:pPr>
              <w:pStyle w:val="5"/>
            </w:pPr>
            <w:r>
              <w:rPr>
                <w:rFonts w:hint="eastAsia"/>
              </w:rPr>
              <w:t>合计</w:t>
            </w:r>
          </w:p>
        </w:tc>
        <w:tc>
          <w:tcPr>
            <w:tcW w:w="1276" w:type="dxa"/>
            <w:noWrap w:val="0"/>
            <w:vAlign w:val="center"/>
          </w:tcPr>
          <w:p>
            <w:pPr>
              <w:pStyle w:val="5"/>
            </w:pPr>
            <w:r>
              <w:t>2</w:t>
            </w:r>
          </w:p>
        </w:tc>
        <w:tc>
          <w:tcPr>
            <w:tcW w:w="1134" w:type="dxa"/>
            <w:noWrap w:val="0"/>
            <w:vAlign w:val="top"/>
          </w:tcPr>
          <w:p>
            <w:pPr>
              <w:pStyle w:val="5"/>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2) </w:t>
      </w:r>
      <w:r>
        <w:rPr>
          <w:rFonts w:hint="eastAsia"/>
          <w:b/>
          <w:kern w:val="0"/>
        </w:rPr>
        <w:t>评价要点</w:t>
      </w:r>
    </w:p>
    <w:p>
      <w:pPr>
        <w:spacing w:line="288" w:lineRule="auto"/>
        <w:ind w:firstLine="420"/>
      </w:pPr>
      <w:r>
        <w:rPr>
          <w:rFonts w:hint="eastAsia" w:ascii="宋体" w:cs="宋体"/>
          <w:kern w:val="0"/>
        </w:rPr>
        <w:t>简要说明围护结构做法、供暖空调设计内容（</w:t>
      </w:r>
      <w:r>
        <w:rPr>
          <w:kern w:val="0"/>
        </w:rPr>
        <w:t xml:space="preserve">300 </w:t>
      </w:r>
      <w:r>
        <w:rPr>
          <w:rFonts w:hint="eastAsia" w:ascii="宋体" w:cs="宋体"/>
          <w:kern w:val="0"/>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3) </w:t>
      </w:r>
      <w:r>
        <w:rPr>
          <w:rFonts w:hint="eastAsia"/>
          <w:b/>
          <w:kern w:val="0"/>
        </w:rPr>
        <w:t>证明材料</w:t>
      </w:r>
    </w:p>
    <w:p>
      <w:pPr>
        <w:spacing w:line="288" w:lineRule="auto"/>
        <w:ind w:firstLine="420"/>
      </w:pPr>
      <w:r>
        <w:rPr>
          <w:rFonts w:hint="eastAsia"/>
        </w:rPr>
        <w:t>提交材料及要求：</w:t>
      </w:r>
    </w:p>
    <w:p>
      <w:pPr>
        <w:ind w:firstLine="420"/>
      </w:pPr>
      <w:r>
        <w:rPr>
          <w:rFonts w:hint="eastAsia"/>
        </w:rPr>
        <w:t>1.建筑专业图纸及设计说明：应说明围护结构热工性能参数、外窗和玻璃幕墙气密性指标，应提交围护结构详图；</w:t>
      </w:r>
    </w:p>
    <w:p>
      <w:pPr>
        <w:ind w:firstLine="420"/>
      </w:pPr>
      <w:r>
        <w:rPr>
          <w:rFonts w:hint="eastAsia"/>
        </w:rPr>
        <w:t>2.节能计算书：应包括围护结构热工性能计算结果，采用软件计算的需要列出计算参数，以管理部门批复后的复印件或扫描件为准；。</w:t>
      </w:r>
    </w:p>
    <w:p>
      <w:pPr>
        <w:ind w:firstLine="420"/>
      </w:pPr>
      <w:r>
        <w:rPr>
          <w:rFonts w:hint="eastAsia"/>
        </w:rPr>
        <w:t>3.供暖空调全年计算负荷报告：应体现计算工况、参数设置、计算结果与分析等内容。</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03966"/>
    <w:rsid w:val="6950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2019-09-02T01:48:00Z</dcterms:created>
  <dc:creator>小情绪丶</dc:creator>
  <cp:lastModifiedBy>小情绪丶</cp:lastModifiedBy>
  <dcterms:modified xsi:type="dcterms:W3CDTF">2019-09-02T01:48:10Z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