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4.2.2 </w:t>
      </w:r>
      <w:r>
        <w:rPr>
          <w:rFonts w:hint="eastAsia"/>
        </w:rPr>
        <w:t>场地内合理设置绿化用地。（总分7分）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="422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得分自评</w:t>
      </w: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18"/>
        <w:gridCol w:w="4385"/>
        <w:gridCol w:w="1103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5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公共</w:t>
            </w:r>
          </w:p>
          <w:p>
            <w:pPr>
              <w:pStyle w:val="5"/>
              <w:rPr>
                <w:iCs/>
              </w:rPr>
            </w:pPr>
            <w:r>
              <w:rPr>
                <w:rFonts w:hint="eastAsia"/>
              </w:rPr>
              <w:t>建筑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iCs/>
              </w:rPr>
            </w:pPr>
            <w:r>
              <w:rPr>
                <w:rFonts w:hint="eastAsia"/>
              </w:rPr>
              <w:t>绿地率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g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30%≤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g</w:t>
            </w:r>
            <w:r>
              <w:rPr>
                <w:rFonts w:hint="eastAsia"/>
              </w:rPr>
              <w:t>＜35%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iCs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iCs/>
              </w:rPr>
            </w:pP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g</w:t>
            </w:r>
            <w:r>
              <w:rPr>
                <w:rFonts w:hint="eastAsia"/>
              </w:rPr>
              <w:t>≥35%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iCs/>
              </w:rPr>
            </w:pPr>
          </w:p>
        </w:tc>
        <w:tc>
          <w:tcPr>
            <w:tcW w:w="5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绿地向社会公众开放。幼儿园、小学、中学、医院建筑的绿地，评价时可视为开放的绿地，直接得分。</w:t>
            </w:r>
            <w:bookmarkStart w:id="0" w:name="_GoBack"/>
            <w:bookmarkEnd w:id="0"/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17"/>
        <w:gridCol w:w="2313"/>
        <w:gridCol w:w="2073"/>
        <w:gridCol w:w="1103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5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居住</w:t>
            </w:r>
          </w:p>
          <w:p>
            <w:pPr>
              <w:pStyle w:val="5"/>
            </w:pPr>
            <w:r>
              <w:rPr>
                <w:rFonts w:hint="eastAsia"/>
              </w:rPr>
              <w:t>建筑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新区建设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住区人均公共绿地面积</w:t>
            </w:r>
            <w:r>
              <w:rPr>
                <w:rFonts w:hint="eastAsia"/>
                <w:i/>
              </w:rPr>
              <w:t>A</w:t>
            </w:r>
            <w:r>
              <w:rPr>
                <w:rFonts w:hint="eastAsia"/>
                <w:vertAlign w:val="subscript"/>
              </w:rPr>
              <w:t>g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1.0m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≤</w:t>
            </w:r>
            <w:r>
              <w:rPr>
                <w:rFonts w:hint="eastAsia"/>
                <w:i/>
              </w:rPr>
              <w:t>A</w:t>
            </w:r>
            <w:r>
              <w:rPr>
                <w:rFonts w:hint="eastAsia"/>
                <w:vertAlign w:val="subscript"/>
              </w:rPr>
              <w:t>g</w:t>
            </w:r>
            <w:r>
              <w:rPr>
                <w:rFonts w:hint="eastAsia"/>
              </w:rPr>
              <w:t>＜1.5m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i/>
              </w:rPr>
              <w:t>A</w:t>
            </w:r>
            <w:r>
              <w:rPr>
                <w:rFonts w:hint="eastAsia"/>
                <w:vertAlign w:val="subscript"/>
              </w:rPr>
              <w:t>g</w:t>
            </w:r>
            <w:r>
              <w:rPr>
                <w:rFonts w:hint="eastAsia"/>
              </w:rPr>
              <w:t>≥1.5m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住区绿地率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≥30%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旧区改建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住区人均公共绿地面积</w:t>
            </w:r>
            <w:r>
              <w:rPr>
                <w:rFonts w:hint="eastAsia"/>
                <w:i/>
              </w:rPr>
              <w:t>A</w:t>
            </w:r>
            <w:r>
              <w:rPr>
                <w:rFonts w:hint="eastAsia"/>
                <w:vertAlign w:val="subscript"/>
              </w:rPr>
              <w:t>g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0.7m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i/>
              </w:rPr>
              <w:t>A</w:t>
            </w:r>
            <w:r>
              <w:rPr>
                <w:rFonts w:hint="eastAsia"/>
                <w:vertAlign w:val="subscript"/>
              </w:rPr>
              <w:t>g</w:t>
            </w:r>
            <w:r>
              <w:rPr>
                <w:rFonts w:hint="eastAsia"/>
              </w:rPr>
              <w:t>＜1.0m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i/>
              </w:rPr>
              <w:t>A</w:t>
            </w:r>
            <w:r>
              <w:rPr>
                <w:rFonts w:hint="eastAsia"/>
                <w:vertAlign w:val="subscript"/>
              </w:rPr>
              <w:t>g</w:t>
            </w:r>
            <w:r>
              <w:rPr>
                <w:rFonts w:hint="eastAsia"/>
              </w:rPr>
              <w:t>≥1.0m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住区绿地率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≥25%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adjustRightInd w:val="0"/>
        <w:spacing w:line="288" w:lineRule="auto"/>
        <w:jc w:val="left"/>
        <w:rPr>
          <w:b/>
          <w:kern w:val="0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0" w:leftChars="0" w:firstLine="422" w:firstLineChars="0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评价要点</w:t>
      </w: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5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绿地率（%）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其他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  <w:p>
            <w:pPr>
              <w:pStyle w:val="5"/>
            </w:pPr>
            <w:r>
              <w:rPr>
                <w:rFonts w:hint="eastAsia"/>
                <w:lang w:val="zh-CN"/>
              </w:rPr>
              <w:t>开放时间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0"/>
        <w:gridCol w:w="5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居住建筑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绿地率（%）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其他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总公共绿地面积m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  <w:p>
            <w:pPr>
              <w:pStyle w:val="5"/>
            </w:pPr>
            <w:r>
              <w:rPr>
                <w:rFonts w:hint="eastAsia"/>
                <w:lang w:val="zh-CN"/>
              </w:rPr>
              <w:t>人均公共绿地面积m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</w:tr>
    </w:tbl>
    <w:p>
      <w:pPr>
        <w:spacing w:line="288" w:lineRule="auto"/>
        <w:ind w:firstLine="420"/>
        <w:rPr>
          <w:bCs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  <w:rPr>
          <w:bCs/>
        </w:rPr>
      </w:pPr>
      <w:r>
        <w:rPr>
          <w:rFonts w:hint="eastAsia"/>
          <w:bCs/>
        </w:rPr>
        <w:t>提交清单及要求：</w:t>
      </w:r>
    </w:p>
    <w:p>
      <w:pPr>
        <w:ind w:firstLine="420"/>
      </w:pPr>
      <w:r>
        <w:rPr>
          <w:rFonts w:hint="eastAsia"/>
        </w:rPr>
        <w:t>1 总平面图：应包括规划用地面积、总建筑面积、绿地率、容积率等技术经济指标；</w:t>
      </w:r>
    </w:p>
    <w:p>
      <w:pPr>
        <w:ind w:firstLine="420"/>
      </w:pPr>
      <w:r>
        <w:rPr>
          <w:rFonts w:hint="eastAsia"/>
        </w:rPr>
        <w:t>2人均公共绿地面积计算书：应体现公共绿地的位置、面积分析，以及计算结果；</w:t>
      </w:r>
    </w:p>
    <w:p>
      <w:pPr>
        <w:ind w:firstLine="420"/>
      </w:pPr>
      <w:r>
        <w:rPr>
          <w:rFonts w:hint="eastAsia"/>
        </w:rPr>
        <w:t>3体现绿地向社会公众开放的相关文件：应包括</w:t>
      </w:r>
      <w:r>
        <w:rPr>
          <w:rFonts w:hint="eastAsia"/>
          <w:kern w:val="0"/>
        </w:rPr>
        <w:t>设计理念及具体措施</w:t>
      </w:r>
      <w:r>
        <w:rPr>
          <w:rFonts w:hint="eastAsia"/>
        </w:rPr>
        <w:t>。</w:t>
      </w:r>
      <w:r>
        <w:rPr>
          <w:rFonts w:hint="eastAsia"/>
          <w:lang w:eastAsia="zh-CN"/>
        </w:rPr>
        <w:t>（仅公共建筑申报需提供）</w:t>
      </w:r>
    </w:p>
    <w:p>
      <w:pPr>
        <w:spacing w:line="288" w:lineRule="auto"/>
        <w:ind w:firstLine="420"/>
      </w:pPr>
      <w:r>
        <w:rPr>
          <w:rFonts w:hint="eastAsia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B1950"/>
    <w:multiLevelType w:val="singleLevel"/>
    <w:tmpl w:val="829B195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6FB3179"/>
    <w:multiLevelType w:val="singleLevel"/>
    <w:tmpl w:val="56FB3179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94A5A"/>
    <w:rsid w:val="25B2701E"/>
    <w:rsid w:val="34494A5A"/>
    <w:rsid w:val="3DC9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2019-09-02T00:36:00Z</dcterms:created>
  <dc:creator>小情绪丶</dc:creator>
  <cp:lastModifiedBy>Administrator</cp:lastModifiedBy>
  <dcterms:modified xsi:type="dcterms:W3CDTF">2019-09-05T08:40:12Z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