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5" w:name="_GoBack"/>
      <w:r>
        <w:rPr>
          <w:rFonts w:hint="eastAsia"/>
        </w:rPr>
        <w:t>5.2.10</w:t>
      </w:r>
      <w:bookmarkEnd w:id="5"/>
      <w:r>
        <w:rPr>
          <w:rFonts w:hint="eastAsia"/>
        </w:rPr>
        <w:t xml:space="preserve"> 合理选择和优化供暖、通风与空调系统。（总分8分）</w:t>
      </w:r>
    </w:p>
    <w:p>
      <w:pPr>
        <w:pStyle w:val="4"/>
        <w:spacing w:line="288" w:lineRule="auto"/>
        <w:ind w:firstLine="420"/>
        <w:outlineLvl w:val="9"/>
        <w:rPr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sz w:val="21"/>
          <w:szCs w:val="21"/>
        </w:rPr>
      </w:pPr>
      <w:bookmarkStart w:id="0" w:name="_Toc435604680"/>
      <w:r>
        <w:rPr>
          <w:rFonts w:hint="eastAsia"/>
          <w:b/>
          <w:bCs/>
          <w:sz w:val="21"/>
          <w:szCs w:val="21"/>
        </w:rPr>
        <w:t>1)</w:t>
      </w:r>
      <w:r>
        <w:rPr>
          <w:rFonts w:hint="eastAsia"/>
          <w:b/>
          <w:sz w:val="21"/>
          <w:szCs w:val="21"/>
        </w:rPr>
        <w:t>得分自评：</w:t>
      </w:r>
      <w:bookmarkEnd w:id="0"/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供暖、通风与空调系统能耗降低幅度</w:t>
            </w:r>
            <w:r>
              <w:t>5%</w:t>
            </w:r>
            <w:r>
              <w:rPr>
                <w:rFonts w:hint="eastAsia"/>
              </w:rPr>
              <w:t>≤</w:t>
            </w:r>
            <w:r>
              <w:t>De</w:t>
            </w:r>
            <w:r>
              <w:rPr>
                <w:rFonts w:hint="eastAsia"/>
              </w:rPr>
              <w:t>＜</w:t>
            </w:r>
            <w:r>
              <w:t>10%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供暖、通风与空调系统能耗降低幅度</w:t>
            </w:r>
            <w:r>
              <w:t>10%</w:t>
            </w:r>
            <w:r>
              <w:rPr>
                <w:rFonts w:hint="eastAsia"/>
              </w:rPr>
              <w:t>≤</w:t>
            </w:r>
            <w:r>
              <w:t>De</w:t>
            </w:r>
            <w:r>
              <w:rPr>
                <w:rFonts w:hint="eastAsia"/>
              </w:rPr>
              <w:t>＜</w:t>
            </w:r>
            <w:r>
              <w:t>15%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供暖、通风与空调系统能耗降低幅度</w:t>
            </w:r>
            <w:r>
              <w:t>De</w:t>
            </w:r>
            <w:r>
              <w:rPr>
                <w:rFonts w:hint="eastAsia"/>
              </w:rPr>
              <w:t>≥</w:t>
            </w:r>
            <w:r>
              <w:t>15%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8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pStyle w:val="4"/>
        <w:spacing w:line="288" w:lineRule="auto"/>
        <w:ind w:firstLine="420"/>
        <w:outlineLvl w:val="9"/>
        <w:rPr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b/>
          <w:bCs/>
          <w:sz w:val="21"/>
          <w:szCs w:val="21"/>
        </w:rPr>
      </w:pPr>
      <w:bookmarkStart w:id="1" w:name="_Toc435604682"/>
      <w:r>
        <w:rPr>
          <w:b/>
          <w:bCs/>
          <w:sz w:val="21"/>
          <w:szCs w:val="21"/>
        </w:rPr>
        <w:t xml:space="preserve">2) </w:t>
      </w:r>
      <w:r>
        <w:rPr>
          <w:rFonts w:hint="eastAsia"/>
          <w:b/>
          <w:bCs/>
          <w:sz w:val="21"/>
          <w:szCs w:val="21"/>
        </w:rPr>
        <w:t>评价要点</w:t>
      </w:r>
      <w:r>
        <w:rPr>
          <w:b/>
          <w:bCs/>
          <w:sz w:val="21"/>
          <w:szCs w:val="21"/>
        </w:rPr>
        <w:t>:</w:t>
      </w:r>
      <w:bookmarkEnd w:id="1"/>
    </w:p>
    <w:p>
      <w:pPr>
        <w:ind w:firstLine="420"/>
      </w:pPr>
      <w:r>
        <w:rPr>
          <w:rFonts w:hint="eastAsia"/>
        </w:rPr>
        <w:t>参照建筑执行的建筑节能设计标准，参建筑依据的建筑节能设计标准。</w:t>
      </w:r>
    </w:p>
    <w:p>
      <w:pPr>
        <w:ind w:firstLine="420"/>
      </w:pPr>
      <w:r>
        <w:rPr>
          <w:rFonts w:hint="eastAsia"/>
        </w:rPr>
        <w:t>能耗模型设定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75"/>
        <w:gridCol w:w="1765"/>
        <w:gridCol w:w="2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设定内容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参评系统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参照系统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围护结构热工参数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暖通空调系统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冷源系统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热源系统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输配系统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末端系统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控制系统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ind w:firstLine="420"/>
      </w:pPr>
      <w:r>
        <w:rPr>
          <w:rFonts w:hint="eastAsia"/>
        </w:rPr>
        <w:t>模拟结果统计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1605"/>
        <w:gridCol w:w="1819"/>
        <w:gridCol w:w="20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分项能耗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单位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参评建筑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参照建筑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供暖能耗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kWh/（m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·a）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供冷能耗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kWh/（m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·a）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供暖、通风与空调系统水泵能耗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kWh/（m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·a）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供暖、通风与空调系统风机能耗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kWh/（m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·a）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照明能耗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kWh/（m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·a）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动力能耗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kWh/（m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·a）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供暖、通风与空调系统年能耗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kWh/（m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·a）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供暖、通风与空调系统能耗降低幅度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%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单位面积能耗[kWh/（m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•a）]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建筑总能耗（MJ/a）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ind w:firstLine="420"/>
      </w:pPr>
      <w:r>
        <w:rPr>
          <w:rFonts w:hint="eastAsia"/>
        </w:rPr>
        <w:t>注：动力能耗包括电梯、非空调区域通风、生活热水、自来水加压、排污等设备（不包括供暖、通风与空调系统系统设备）的能耗。</w:t>
      </w:r>
    </w:p>
    <w:p>
      <w:pPr>
        <w:pStyle w:val="4"/>
        <w:spacing w:line="288" w:lineRule="auto"/>
        <w:ind w:firstLine="420"/>
        <w:outlineLvl w:val="9"/>
        <w:rPr>
          <w:bCs/>
          <w:sz w:val="21"/>
          <w:szCs w:val="21"/>
        </w:rPr>
      </w:pPr>
    </w:p>
    <w:p>
      <w:pPr>
        <w:pStyle w:val="4"/>
        <w:spacing w:line="288" w:lineRule="auto"/>
        <w:ind w:firstLine="422"/>
        <w:outlineLvl w:val="9"/>
        <w:rPr>
          <w:b/>
          <w:bCs/>
          <w:sz w:val="21"/>
          <w:szCs w:val="21"/>
        </w:rPr>
      </w:pPr>
      <w:bookmarkStart w:id="2" w:name="_Toc435604685"/>
      <w:r>
        <w:rPr>
          <w:b/>
          <w:bCs/>
          <w:sz w:val="21"/>
          <w:szCs w:val="21"/>
        </w:rPr>
        <w:t xml:space="preserve">3) </w:t>
      </w:r>
      <w:r>
        <w:rPr>
          <w:rFonts w:hint="eastAsia"/>
          <w:b/>
          <w:bCs/>
          <w:sz w:val="21"/>
          <w:szCs w:val="21"/>
        </w:rPr>
        <w:t>证明材料：</w:t>
      </w:r>
      <w:bookmarkEnd w:id="2"/>
    </w:p>
    <w:p>
      <w:pPr>
        <w:ind w:firstLine="420"/>
      </w:pPr>
      <w:bookmarkStart w:id="3" w:name="_Toc435604686"/>
      <w:r>
        <w:rPr>
          <w:rFonts w:hint="eastAsia"/>
        </w:rPr>
        <w:t>提交资料及要求：</w:t>
      </w:r>
      <w:bookmarkEnd w:id="3"/>
    </w:p>
    <w:p>
      <w:pPr>
        <w:ind w:firstLine="420"/>
      </w:pPr>
      <w:bookmarkStart w:id="4" w:name="_Toc435604688"/>
      <w:r>
        <w:rPr>
          <w:rFonts w:hint="eastAsia"/>
        </w:rPr>
        <w:t>1.暖通专业施工图及设计说明：应包括对供暖空调系统及设备性能参数的完整说明；</w:t>
      </w:r>
    </w:p>
    <w:p>
      <w:pPr>
        <w:ind w:firstLine="420"/>
      </w:pPr>
      <w:r>
        <w:rPr>
          <w:rFonts w:hint="eastAsia"/>
        </w:rPr>
        <w:t>2.暖通空调能耗模拟计算书：应包括详细的建筑基本信息、所用的模拟软件、运行时间表、围护结构热工参数、室内得热、供暖通风与空调系统参数、模拟结果等内容。</w:t>
      </w:r>
    </w:p>
    <w:p>
      <w:pPr>
        <w:ind w:firstLine="420"/>
      </w:pPr>
      <w:r>
        <w:rPr>
          <w:rFonts w:hint="eastAsia"/>
        </w:rPr>
        <w:t>实际提交材料：</w:t>
      </w:r>
      <w:bookmarkEnd w:id="4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30F6F"/>
    <w:rsid w:val="50C3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2019-09-02T00:57:00Z</dcterms:created>
  <dc:creator>小情绪丶</dc:creator>
  <cp:lastModifiedBy>小情绪丶</cp:lastModifiedBy>
  <dcterms:modified xsi:type="dcterms:W3CDTF">2019-09-02T00:57:19Z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