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t>5.2.</w:t>
      </w:r>
      <w:r>
        <w:rPr>
          <w:rFonts w:hint="eastAsia"/>
        </w:rPr>
        <w:t>13走廊、楼梯间、门厅、大堂、大空间、地下停车场等场所的照明系统采取分区、定时、感应等节能控制措施。（总分4分）</w:t>
      </w:r>
    </w:p>
    <w:p>
      <w:pPr>
        <w:autoSpaceDE w:val="0"/>
        <w:autoSpaceDN w:val="0"/>
        <w:adjustRightInd w:val="0"/>
        <w:ind w:firstLine="422"/>
        <w:jc w:val="left"/>
        <w:rPr>
          <w:rFonts w:ascii="宋体" w:cs="宋体"/>
          <w:b/>
          <w:bCs/>
          <w:kern w:val="0"/>
        </w:rPr>
      </w:pPr>
    </w:p>
    <w:p>
      <w:pPr>
        <w:numPr>
          <w:ilvl w:val="0"/>
          <w:numId w:val="1"/>
        </w:numPr>
        <w:autoSpaceDE w:val="0"/>
        <w:autoSpaceDN w:val="0"/>
        <w:adjustRightInd w:val="0"/>
        <w:ind w:firstLine="422"/>
        <w:jc w:val="left"/>
        <w:rPr>
          <w:rFonts w:hint="eastAsia" w:ascii="宋体" w:cs="宋体"/>
          <w:b/>
          <w:kern w:val="0"/>
        </w:rPr>
      </w:pPr>
      <w:r>
        <w:rPr>
          <w:rFonts w:hint="eastAsia" w:ascii="宋体" w:cs="宋体"/>
          <w:b/>
          <w:kern w:val="0"/>
        </w:rPr>
        <w:t>得分自评：</w:t>
      </w:r>
    </w:p>
    <w:p>
      <w:pPr>
        <w:numPr>
          <w:ilvl w:val="0"/>
          <w:numId w:val="0"/>
        </w:numPr>
        <w:autoSpaceDE w:val="0"/>
        <w:autoSpaceDN w:val="0"/>
        <w:adjustRightInd w:val="0"/>
        <w:spacing w:line="288" w:lineRule="auto"/>
        <w:ind w:firstLine="420" w:firstLineChars="200"/>
        <w:jc w:val="left"/>
        <w:rPr>
          <w:rFonts w:hint="eastAsia"/>
          <w:lang w:eastAsia="zh-CN"/>
        </w:rPr>
      </w:pPr>
      <w:r>
        <w:rPr>
          <w:rFonts w:hint="eastAsia"/>
          <w:lang w:eastAsia="zh-CN"/>
        </w:rPr>
        <w:t>□公共建筑</w:t>
      </w:r>
    </w:p>
    <w:tbl>
      <w:tblPr>
        <w:tblStyle w:val="2"/>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1701"/>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5098" w:type="dxa"/>
            <w:noWrap w:val="0"/>
            <w:vAlign w:val="center"/>
          </w:tcPr>
          <w:p>
            <w:pPr>
              <w:pStyle w:val="5"/>
            </w:pPr>
            <w:r>
              <w:rPr>
                <w:rFonts w:hint="eastAsia"/>
              </w:rPr>
              <w:t>评价内容</w:t>
            </w:r>
          </w:p>
        </w:tc>
        <w:tc>
          <w:tcPr>
            <w:tcW w:w="1701" w:type="dxa"/>
            <w:noWrap w:val="0"/>
            <w:vAlign w:val="center"/>
          </w:tcPr>
          <w:p>
            <w:pPr>
              <w:pStyle w:val="5"/>
            </w:pPr>
            <w:r>
              <w:rPr>
                <w:rFonts w:hint="eastAsia"/>
              </w:rPr>
              <w:t>评价分值（分）</w:t>
            </w:r>
          </w:p>
        </w:tc>
        <w:tc>
          <w:tcPr>
            <w:tcW w:w="1745"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98" w:type="dxa"/>
            <w:noWrap w:val="0"/>
            <w:vAlign w:val="center"/>
          </w:tcPr>
          <w:p>
            <w:pPr>
              <w:pStyle w:val="5"/>
            </w:pPr>
            <w:r>
              <w:rPr>
                <w:rFonts w:hint="eastAsia"/>
              </w:rPr>
              <w:t>公共活动区域（门厅、大堂、走廊、楼梯间、地下车库等）以及大空间应采取定时、感应等节能控制措施。</w:t>
            </w:r>
          </w:p>
        </w:tc>
        <w:tc>
          <w:tcPr>
            <w:tcW w:w="1701" w:type="dxa"/>
            <w:noWrap w:val="0"/>
            <w:vAlign w:val="center"/>
          </w:tcPr>
          <w:p>
            <w:pPr>
              <w:pStyle w:val="5"/>
            </w:pPr>
            <w:r>
              <w:rPr>
                <w:rFonts w:hint="eastAsia"/>
              </w:rPr>
              <w:t>4</w:t>
            </w:r>
          </w:p>
        </w:tc>
        <w:tc>
          <w:tcPr>
            <w:tcW w:w="1745"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098" w:type="dxa"/>
            <w:noWrap w:val="0"/>
            <w:vAlign w:val="top"/>
          </w:tcPr>
          <w:p>
            <w:pPr>
              <w:pStyle w:val="5"/>
            </w:pPr>
            <w:r>
              <w:rPr>
                <w:rFonts w:hint="eastAsia"/>
              </w:rPr>
              <w:t>合计</w:t>
            </w:r>
          </w:p>
        </w:tc>
        <w:tc>
          <w:tcPr>
            <w:tcW w:w="1701" w:type="dxa"/>
            <w:noWrap w:val="0"/>
            <w:vAlign w:val="center"/>
          </w:tcPr>
          <w:p>
            <w:pPr>
              <w:pStyle w:val="5"/>
            </w:pPr>
            <w:r>
              <w:rPr>
                <w:rFonts w:hint="eastAsia"/>
              </w:rPr>
              <w:t>4</w:t>
            </w:r>
          </w:p>
        </w:tc>
        <w:tc>
          <w:tcPr>
            <w:tcW w:w="1745" w:type="dxa"/>
            <w:noWrap w:val="0"/>
            <w:vAlign w:val="top"/>
          </w:tcPr>
          <w:p>
            <w:pPr>
              <w:pStyle w:val="5"/>
            </w:pPr>
          </w:p>
        </w:tc>
      </w:tr>
    </w:tbl>
    <w:p>
      <w:pPr>
        <w:numPr>
          <w:ilvl w:val="0"/>
          <w:numId w:val="0"/>
        </w:numPr>
        <w:autoSpaceDE w:val="0"/>
        <w:autoSpaceDN w:val="0"/>
        <w:adjustRightInd w:val="0"/>
        <w:spacing w:line="288" w:lineRule="auto"/>
        <w:ind w:firstLine="420" w:firstLineChars="200"/>
        <w:jc w:val="left"/>
        <w:rPr>
          <w:rFonts w:hint="eastAsia"/>
          <w:lang w:eastAsia="zh-CN"/>
        </w:rPr>
      </w:pPr>
      <w:r>
        <w:rPr>
          <w:rFonts w:hint="eastAsia"/>
          <w:lang w:eastAsia="zh-CN"/>
        </w:rPr>
        <w:t>□居住建筑</w:t>
      </w:r>
    </w:p>
    <w:tbl>
      <w:tblPr>
        <w:tblStyle w:val="2"/>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1701"/>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5098" w:type="dxa"/>
            <w:noWrap w:val="0"/>
            <w:vAlign w:val="center"/>
          </w:tcPr>
          <w:p>
            <w:pPr>
              <w:pStyle w:val="5"/>
            </w:pPr>
            <w:r>
              <w:rPr>
                <w:rFonts w:hint="eastAsia"/>
              </w:rPr>
              <w:t>评价内容</w:t>
            </w:r>
          </w:p>
        </w:tc>
        <w:tc>
          <w:tcPr>
            <w:tcW w:w="1701" w:type="dxa"/>
            <w:noWrap w:val="0"/>
            <w:vAlign w:val="center"/>
          </w:tcPr>
          <w:p>
            <w:pPr>
              <w:pStyle w:val="5"/>
            </w:pPr>
            <w:r>
              <w:rPr>
                <w:rFonts w:hint="eastAsia"/>
              </w:rPr>
              <w:t>评价分值（分）</w:t>
            </w:r>
          </w:p>
        </w:tc>
        <w:tc>
          <w:tcPr>
            <w:tcW w:w="1745"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98" w:type="dxa"/>
            <w:noWrap w:val="0"/>
            <w:vAlign w:val="center"/>
          </w:tcPr>
          <w:p>
            <w:pPr>
              <w:pStyle w:val="5"/>
            </w:pPr>
            <w:r>
              <w:rPr>
                <w:rFonts w:hint="eastAsia"/>
              </w:rPr>
              <w:t>对于居住建筑，仅评价其公共部分。公共活动区域（门厅、大堂、走廊、楼梯间、地下车库等）以及大空间应采取定时、感应等节能控制措施。</w:t>
            </w:r>
          </w:p>
        </w:tc>
        <w:tc>
          <w:tcPr>
            <w:tcW w:w="1701" w:type="dxa"/>
            <w:noWrap w:val="0"/>
            <w:vAlign w:val="center"/>
          </w:tcPr>
          <w:p>
            <w:pPr>
              <w:pStyle w:val="5"/>
            </w:pPr>
            <w:r>
              <w:rPr>
                <w:rFonts w:hint="eastAsia"/>
              </w:rPr>
              <w:t>4</w:t>
            </w:r>
          </w:p>
        </w:tc>
        <w:tc>
          <w:tcPr>
            <w:tcW w:w="1745"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098" w:type="dxa"/>
            <w:noWrap w:val="0"/>
            <w:vAlign w:val="top"/>
          </w:tcPr>
          <w:p>
            <w:pPr>
              <w:pStyle w:val="5"/>
            </w:pPr>
            <w:r>
              <w:rPr>
                <w:rFonts w:hint="eastAsia"/>
              </w:rPr>
              <w:t>合计</w:t>
            </w:r>
          </w:p>
        </w:tc>
        <w:tc>
          <w:tcPr>
            <w:tcW w:w="1701" w:type="dxa"/>
            <w:noWrap w:val="0"/>
            <w:vAlign w:val="center"/>
          </w:tcPr>
          <w:p>
            <w:pPr>
              <w:pStyle w:val="5"/>
            </w:pPr>
            <w:r>
              <w:rPr>
                <w:rFonts w:hint="eastAsia"/>
              </w:rPr>
              <w:t>4</w:t>
            </w:r>
          </w:p>
        </w:tc>
        <w:tc>
          <w:tcPr>
            <w:tcW w:w="1745" w:type="dxa"/>
            <w:noWrap w:val="0"/>
            <w:vAlign w:val="top"/>
          </w:tcPr>
          <w:p>
            <w:pPr>
              <w:pStyle w:val="5"/>
            </w:pPr>
          </w:p>
        </w:tc>
      </w:tr>
    </w:tbl>
    <w:p>
      <w:pPr>
        <w:autoSpaceDE w:val="0"/>
        <w:autoSpaceDN w:val="0"/>
        <w:adjustRightInd w:val="0"/>
        <w:ind w:firstLine="420"/>
        <w:jc w:val="left"/>
        <w:rPr>
          <w:rFonts w:ascii="宋体" w:cs="宋体"/>
          <w:kern w:val="0"/>
        </w:rPr>
      </w:pPr>
    </w:p>
    <w:p>
      <w:pPr>
        <w:autoSpaceDE w:val="0"/>
        <w:autoSpaceDN w:val="0"/>
        <w:adjustRightInd w:val="0"/>
        <w:ind w:firstLine="422"/>
        <w:jc w:val="left"/>
        <w:rPr>
          <w:rFonts w:ascii="宋体" w:cs="宋体"/>
          <w:b/>
          <w:bCs/>
          <w:kern w:val="0"/>
        </w:rPr>
      </w:pPr>
      <w:r>
        <w:rPr>
          <w:rFonts w:ascii="宋体" w:cs="宋体"/>
          <w:b/>
          <w:bCs/>
          <w:kern w:val="0"/>
        </w:rPr>
        <w:t xml:space="preserve">2) </w:t>
      </w:r>
      <w:r>
        <w:rPr>
          <w:rFonts w:hint="eastAsia" w:ascii="宋体" w:cs="宋体"/>
          <w:b/>
          <w:bCs/>
          <w:kern w:val="0"/>
        </w:rPr>
        <w:t>评价要点：</w:t>
      </w:r>
    </w:p>
    <w:p>
      <w:pPr>
        <w:autoSpaceDE w:val="0"/>
        <w:autoSpaceDN w:val="0"/>
        <w:adjustRightInd w:val="0"/>
        <w:ind w:firstLine="420"/>
        <w:jc w:val="left"/>
        <w:rPr>
          <w:rFonts w:ascii="宋体" w:cs="宋体"/>
          <w:bCs/>
          <w:kern w:val="0"/>
        </w:rPr>
      </w:pPr>
      <w:r>
        <w:rPr>
          <w:rFonts w:hint="eastAsia" w:ascii="宋体" w:cs="宋体"/>
          <w:bCs/>
          <w:kern w:val="0"/>
        </w:rPr>
        <w:t>简要说明建筑公共空间的照明控制策略和节能措施（</w:t>
      </w:r>
      <w:r>
        <w:rPr>
          <w:rFonts w:ascii="宋体" w:cs="宋体"/>
          <w:bCs/>
          <w:kern w:val="0"/>
        </w:rPr>
        <w:t xml:space="preserve">200 </w:t>
      </w:r>
      <w:r>
        <w:rPr>
          <w:rFonts w:hint="eastAsia" w:ascii="宋体" w:cs="宋体"/>
          <w:bCs/>
          <w:kern w:val="0"/>
        </w:rPr>
        <w:t>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pStyle w:val="4"/>
        <w:spacing w:line="288" w:lineRule="auto"/>
        <w:ind w:firstLine="420"/>
        <w:outlineLvl w:val="9"/>
        <w:rPr>
          <w:bCs/>
          <w:sz w:val="21"/>
          <w:szCs w:val="21"/>
        </w:rPr>
      </w:pPr>
    </w:p>
    <w:p>
      <w:pPr>
        <w:autoSpaceDE w:val="0"/>
        <w:autoSpaceDN w:val="0"/>
        <w:adjustRightInd w:val="0"/>
        <w:ind w:firstLine="422"/>
        <w:jc w:val="left"/>
        <w:rPr>
          <w:rFonts w:ascii="宋体" w:cs="宋体"/>
          <w:b/>
          <w:kern w:val="0"/>
        </w:rPr>
      </w:pPr>
      <w:r>
        <w:rPr>
          <w:rFonts w:ascii="宋体" w:cs="宋体"/>
          <w:b/>
          <w:kern w:val="0"/>
        </w:rPr>
        <w:t xml:space="preserve">3) </w:t>
      </w:r>
      <w:r>
        <w:rPr>
          <w:rFonts w:hint="eastAsia" w:ascii="宋体" w:cs="宋体"/>
          <w:b/>
          <w:kern w:val="0"/>
        </w:rPr>
        <w:t>证明材料</w:t>
      </w:r>
    </w:p>
    <w:p>
      <w:pPr>
        <w:ind w:firstLine="420"/>
      </w:pPr>
      <w:r>
        <w:rPr>
          <w:rFonts w:hint="eastAsia"/>
        </w:rPr>
        <w:t>提交材料及要求：</w:t>
      </w:r>
    </w:p>
    <w:p>
      <w:pPr>
        <w:ind w:firstLine="420"/>
      </w:pPr>
      <w:bookmarkStart w:id="0" w:name="_Toc435604710"/>
      <w:r>
        <w:rPr>
          <w:rFonts w:hint="eastAsia"/>
        </w:rPr>
        <w:t>1.电气专业施工图及设计说明：应说明照明设计系统的分区设计及不同区域的控制策略，各层照明平面图应体现不同区域的照明灯具及照明配电系统的平面布置情况，照明控制系统图应体现不同区域照明系统的控制方式，对于集中控制的照明系统，应提供相应的弱电图纸。</w:t>
      </w:r>
    </w:p>
    <w:p>
      <w:pPr>
        <w:ind w:firstLine="420"/>
      </w:pPr>
      <w:r>
        <w:rPr>
          <w:rFonts w:hint="eastAsia"/>
        </w:rPr>
        <w:t>实际提交材料：</w:t>
      </w:r>
      <w:bookmarkEnd w:id="0"/>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6950F"/>
    <w:multiLevelType w:val="singleLevel"/>
    <w:tmpl w:val="5246950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479F7"/>
    <w:rsid w:val="4C44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2019-09-02T00:58:00Z</dcterms:created>
  <dc:creator>小情绪丶</dc:creator>
  <cp:lastModifiedBy>小情绪丶</cp:lastModifiedBy>
  <dcterms:modified xsi:type="dcterms:W3CDTF">2019-09-02T00:58:37Z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