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5.2.2</w:t>
      </w:r>
      <w:r>
        <w:rPr>
          <w:rFonts w:hint="eastAsia"/>
        </w:rPr>
        <w:t>建筑能获得良好的通风。（总分</w:t>
      </w:r>
      <w:r>
        <w:t xml:space="preserve">6 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）得分自评：</w:t>
      </w: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  <w:r>
        <w:rPr>
          <w:rFonts w:hint="eastAsia"/>
        </w:rPr>
        <w:t>（有严格室内温湿度要求、不宜进行自然通风的建筑或房间，本条不参评；当建筑层数大于</w:t>
      </w:r>
      <w:r>
        <w:t xml:space="preserve">18 </w:t>
      </w:r>
      <w:r>
        <w:rPr>
          <w:rFonts w:hint="eastAsia"/>
        </w:rPr>
        <w:t>层时，18层以上部分不计入评判范围。）</w:t>
      </w:r>
    </w:p>
    <w:p>
      <w:pPr>
        <w:spacing w:line="288" w:lineRule="auto"/>
        <w:ind w:firstLine="420"/>
        <w:rPr>
          <w:b/>
          <w:bCs/>
        </w:rPr>
      </w:pPr>
      <w:r>
        <w:rPr>
          <w:rFonts w:hint="eastAsia"/>
        </w:rPr>
        <w:t>□不参评，原因：</w:t>
      </w:r>
      <w:r>
        <w:rPr>
          <w:b/>
          <w:bCs/>
        </w:rPr>
        <w:t>__________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3005"/>
        <w:gridCol w:w="153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499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1、设玻璃幕墙且不设外窗的建筑：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1）玻璃幕墙透明部分可开启面积比例达到5%；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0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2）玻璃幕墙透明部分可开启面积比例达到10%。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2、设外窗且不设玻璃幕墙的建筑：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1）外窗可开启面积比例达到30%；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00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2）外窗可开启面积比例达到35%。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499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3、设玻璃幕墙和外窗的建筑，对其玻璃幕墙透明部分和外窗分别按本条第1款和第2款进行评价，得分取两项得分的平均值。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gridSpan w:val="3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71"/>
        <w:gridCol w:w="1531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4990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外窗可开启面积比例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1）达到30%；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1.5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2）达到35%。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居住建筑外窗采用通风和气密性良好的节能窗型比例：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1）达到80%；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1.5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2）达到100%。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居住建筑的平面和剖面设计有利于形成良好的穿堂风，通风良好户型总面积与总面积的比值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1）达到70%；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1.5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2）达到100%。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gridSpan w:val="3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）评价要点：</w:t>
      </w:r>
    </w:p>
    <w:p>
      <w:pPr>
        <w:spacing w:line="288" w:lineRule="auto"/>
        <w:ind w:firstLine="420"/>
      </w:pPr>
      <w:r>
        <w:rPr>
          <w:rFonts w:hint="eastAsia"/>
        </w:rPr>
        <w:t>外窗可开启面积比例：</w:t>
      </w:r>
    </w:p>
    <w:tbl>
      <w:tblPr>
        <w:tblStyle w:val="2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82"/>
        <w:gridCol w:w="1392"/>
        <w:gridCol w:w="1393"/>
        <w:gridCol w:w="1842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类型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外窗尺寸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数量（个）</w:t>
            </w:r>
          </w:p>
        </w:tc>
        <w:tc>
          <w:tcPr>
            <w:tcW w:w="2071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可开启面积比例（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宽度（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高度（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5"/>
            </w:pPr>
            <w:r>
              <w:rPr>
                <w:rFonts w:hint="eastAsia"/>
              </w:rPr>
              <w:t>外窗</w:t>
            </w: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5809" w:type="dxa"/>
            <w:gridSpan w:val="4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总计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幕墙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660" w:type="dxa"/>
            <w:gridSpan w:val="5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总计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pStyle w:val="5"/>
            </w:pP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  <w:bCs/>
        </w:rPr>
        <w:t>3</w:t>
      </w:r>
      <w:r>
        <w:rPr>
          <w:rFonts w:hint="eastAsia"/>
          <w:b/>
        </w:rPr>
        <w:t>）证明材料：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1建筑专业图纸及设计说明：应说明外窗和幕墙开启方式、种类、面积与数量，应提交平面图、立面图、门窗表和幕墙图纸；</w:t>
      </w:r>
    </w:p>
    <w:p>
      <w:pPr>
        <w:ind w:firstLine="420"/>
      </w:pPr>
      <w:r>
        <w:rPr>
          <w:rFonts w:hint="eastAsia"/>
        </w:rPr>
        <w:t>2 可开启面积比例计算书：应对外窗、幕墙的总面积及可开启部分进行统计。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6DC1"/>
    <w:rsid w:val="1FD76DC1"/>
    <w:rsid w:val="6BE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2019-09-02T00:51:00Z</dcterms:created>
  <dc:creator>小情绪丶</dc:creator>
  <cp:lastModifiedBy>Administrator</cp:lastModifiedBy>
  <dcterms:modified xsi:type="dcterms:W3CDTF">2019-09-05T08:56:18Z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